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bidi w:val="0"/>
        <w:spacing w:lineRule="auto" w:line="276" w:before="0" w:after="200"/>
        <w:ind w:left="0" w:right="510" w:hanging="0"/>
        <w:jc w:val="center"/>
        <w:rPr>
          <w:rFonts w:ascii="Times New Roman" w:hAnsi="Times New Roman" w:cs="Times New Roman"/>
          <w:sz w:val="28"/>
          <w:szCs w:val="28"/>
        </w:rPr>
      </w:pPr>
      <w:r>
        <w:rPr>
          <w:rFonts w:cs="Times New Roman" w:ascii="Times New Roman" w:hAnsi="Times New Roman"/>
          <w:sz w:val="28"/>
          <w:szCs w:val="28"/>
        </w:rPr>
        <w:t>Развернутое руководство по соблюдению обязательных требований пожарной безопасности с конкретными примерами</w:t>
      </w:r>
    </w:p>
    <w:tbl>
      <w:tblPr>
        <w:tblW w:w="15134" w:type="dxa"/>
        <w:jc w:val="left"/>
        <w:tblInd w:w="0" w:type="dxa"/>
        <w:tblCellMar>
          <w:top w:w="0" w:type="dxa"/>
          <w:left w:w="108" w:type="dxa"/>
          <w:bottom w:w="0" w:type="dxa"/>
          <w:right w:w="108" w:type="dxa"/>
        </w:tblCellMar>
        <w:tblLook w:val="04a0" w:noVBand="1" w:noHBand="0" w:lastColumn="0" w:firstColumn="1" w:lastRow="0" w:firstRow="1"/>
      </w:tblPr>
      <w:tblGrid>
        <w:gridCol w:w="817"/>
        <w:gridCol w:w="3119"/>
        <w:gridCol w:w="3402"/>
        <w:gridCol w:w="2975"/>
        <w:gridCol w:w="4821"/>
      </w:tblGrid>
      <w:tr>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
                <w:b/>
                <w:sz w:val="24"/>
                <w:szCs w:val="24"/>
              </w:rPr>
            </w:pPr>
            <w:r>
              <w:rPr>
                <w:rFonts w:eastAsia="Times New Roman" w:ascii="Times New Roman" w:hAnsi="Times New Roman"/>
                <w:b/>
                <w:sz w:val="24"/>
                <w:szCs w:val="24"/>
              </w:rPr>
              <w:t xml:space="preserve">№ </w:t>
            </w:r>
            <w:r>
              <w:rPr>
                <w:rFonts w:eastAsia="Times New Roman" w:ascii="Times New Roman" w:hAnsi="Times New Roman"/>
                <w:b/>
                <w:sz w:val="24"/>
                <w:szCs w:val="24"/>
              </w:rPr>
              <w:t>п/п</w:t>
            </w:r>
          </w:p>
        </w:tc>
        <w:tc>
          <w:tcPr>
            <w:tcW w:w="311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
                <w:b/>
                <w:sz w:val="24"/>
                <w:szCs w:val="24"/>
              </w:rPr>
            </w:pPr>
            <w:r>
              <w:rPr>
                <w:rFonts w:eastAsia="Times New Roman" w:ascii="Times New Roman" w:hAnsi="Times New Roman"/>
                <w:b/>
                <w:sz w:val="24"/>
                <w:szCs w:val="24"/>
              </w:rPr>
              <w:t>Типовое нарушение требований пожарной безопасности</w:t>
            </w:r>
          </w:p>
        </w:tc>
        <w:tc>
          <w:tcPr>
            <w:tcW w:w="34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
                <w:b/>
                <w:sz w:val="24"/>
                <w:szCs w:val="24"/>
              </w:rPr>
            </w:pPr>
            <w:r>
              <w:rPr>
                <w:rFonts w:eastAsia="Times New Roman" w:ascii="Times New Roman" w:hAnsi="Times New Roman"/>
                <w:b/>
                <w:sz w:val="24"/>
                <w:szCs w:val="24"/>
              </w:rPr>
              <w:t>Разъяснение возможных мероприятий по устранению</w:t>
            </w:r>
          </w:p>
        </w:tc>
        <w:tc>
          <w:tcPr>
            <w:tcW w:w="297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
                <w:b/>
                <w:sz w:val="24"/>
                <w:szCs w:val="24"/>
              </w:rPr>
            </w:pPr>
            <w:r>
              <w:rPr>
                <w:rFonts w:eastAsia="Times New Roman" w:ascii="Times New Roman" w:hAnsi="Times New Roman"/>
                <w:b/>
                <w:sz w:val="24"/>
                <w:szCs w:val="24"/>
              </w:rPr>
              <w:t>Причины возникновения типовых нарушений</w:t>
            </w:r>
          </w:p>
        </w:tc>
        <w:tc>
          <w:tcPr>
            <w:tcW w:w="48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
                <w:b/>
                <w:sz w:val="24"/>
                <w:szCs w:val="24"/>
              </w:rPr>
            </w:pPr>
            <w:r>
              <w:rPr>
                <w:rFonts w:eastAsia="Times New Roman" w:ascii="Times New Roman" w:hAnsi="Times New Roman"/>
                <w:b/>
                <w:sz w:val="24"/>
                <w:szCs w:val="24"/>
              </w:rPr>
              <w:t>Руководство по соблюдению обязательных требований</w:t>
            </w:r>
          </w:p>
        </w:tc>
      </w:tr>
      <w:tr>
        <w:trPr/>
        <w:tc>
          <w:tcPr>
            <w:tcW w:w="15134" w:type="dxa"/>
            <w:gridSpan w:val="5"/>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Эвакуационные пути и выходы</w:t>
            </w:r>
          </w:p>
        </w:tc>
      </w:tr>
      <w:tr>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Несоответствие геометрических параметров эвакуационных путей и выходов установленным требованиям нормативных документов по пожарной безопасности (ширина, длина, и т.п.), а также количества эвакуационных выходов</w:t>
            </w:r>
          </w:p>
        </w:tc>
        <w:tc>
          <w:tcPr>
            <w:tcW w:w="34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1. Приведение геометрических параметров эвакуационных путей и выходов установленным требованиям.</w:t>
            </w:r>
          </w:p>
          <w:p>
            <w:pPr>
              <w:pStyle w:val="Normal"/>
              <w:spacing w:lineRule="auto" w:line="240" w:before="0" w:after="0"/>
              <w:rPr>
                <w:rFonts w:ascii="Times New Roman" w:hAnsi="Times New Roman" w:eastAsia="Times New Roman"/>
                <w:b/>
                <w:b/>
                <w:sz w:val="24"/>
                <w:szCs w:val="24"/>
              </w:rPr>
            </w:pPr>
            <w:r>
              <w:rPr>
                <w:rFonts w:eastAsia="Times New Roman" w:ascii="Times New Roman" w:hAnsi="Times New Roman"/>
                <w:b/>
                <w:sz w:val="24"/>
                <w:szCs w:val="24"/>
              </w:rPr>
              <w:t>ИЛИ</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 xml:space="preserve">2. Проведение расчета по оценке пожарного риска </w:t>
            </w:r>
          </w:p>
        </w:tc>
        <w:tc>
          <w:tcPr>
            <w:tcW w:w="297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1. Высокий уровень издержек по соблюдению обязательного требования по сравнению с уровнем возможной ответственности</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2. Невозможность внесения изменений в конструктивные особенности здания</w:t>
            </w:r>
          </w:p>
        </w:tc>
        <w:tc>
          <w:tcPr>
            <w:tcW w:w="48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В соответствии с частью 1 статьи 6 Федерального закона от 22 июля 2008 года № 123-ФЗ «Технический регламент о требованиях пожарной безопасности» (далее – Технический регламент):</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1. Привести эвакуационные пути и выходы в соответствие установленным требованиям.</w:t>
            </w:r>
          </w:p>
          <w:p>
            <w:pPr>
              <w:pStyle w:val="Normal"/>
              <w:spacing w:lineRule="auto" w:line="240" w:before="0" w:after="0"/>
              <w:rPr>
                <w:rFonts w:ascii="Times New Roman" w:hAnsi="Times New Roman" w:eastAsia="Times New Roman"/>
                <w:b/>
                <w:b/>
                <w:sz w:val="24"/>
                <w:szCs w:val="24"/>
              </w:rPr>
            </w:pPr>
            <w:r>
              <w:rPr>
                <w:rFonts w:eastAsia="Times New Roman" w:ascii="Times New Roman" w:hAnsi="Times New Roman"/>
                <w:b/>
                <w:sz w:val="24"/>
                <w:szCs w:val="24"/>
              </w:rPr>
              <w:t>ИЛИ</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2. Провести расчет по оценке пожарного риска при существующих геометрических параметрах и количестве по методикам, утвержденным МЧС России. При обеспечении допустимого уровня пожарного риска, установленного Техническим регламентом, допускается сохранить существующие параметры эвакуационных путей и выходов.</w:t>
            </w:r>
          </w:p>
        </w:tc>
      </w:tr>
      <w:tr>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2.</w:t>
            </w:r>
          </w:p>
        </w:tc>
        <w:tc>
          <w:tcPr>
            <w:tcW w:w="311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Оборудование дверей эвакуационных выходов устройствами, препятствующими их открыванию изнутри без ключа</w:t>
            </w:r>
          </w:p>
        </w:tc>
        <w:tc>
          <w:tcPr>
            <w:tcW w:w="34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t xml:space="preserve">Запоры на дверях эвакуационных выходов должны обеспечивать возможность их свободного открывания изнутри без ключа </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297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Неосведомленность о данном требовании пожарной безопасности  со стороны руководителей и лиц, ответственных за обеспечение пожарной безопасности объектов защиты.</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Защита имущества от внешних посягательств.</w:t>
            </w:r>
          </w:p>
        </w:tc>
        <w:tc>
          <w:tcPr>
            <w:tcW w:w="48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Необходимо оборудовать двери эвакуационных выходов запорами, открываемыми изнутри без использования ключа.</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Возможно оборудовать указанные двери электромагнитными замками, открывание которых при пожаре осуществляется автоматически при срабатывании системы автоматической пожарной сигнализации.</w:t>
            </w:r>
          </w:p>
        </w:tc>
      </w:tr>
      <w:tr>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3.</w:t>
            </w:r>
          </w:p>
        </w:tc>
        <w:tc>
          <w:tcPr>
            <w:tcW w:w="311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Отделка путей эвакуации материалами, применение которых на путях эвакуации не допускается</w:t>
            </w:r>
          </w:p>
        </w:tc>
        <w:tc>
          <w:tcPr>
            <w:tcW w:w="34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В зависимости от класса функциональной пожарной опасности для отделки путей эвакуации необходимо применять материалы с определенным классом пожарной опасности</w:t>
            </w:r>
          </w:p>
        </w:tc>
        <w:tc>
          <w:tcPr>
            <w:tcW w:w="297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Неосведомленность о данном требовании пожарной безопасности  со стороны руководителей и лиц, ответственных за обеспечение пожарной безопасности объектов защиты</w:t>
            </w:r>
          </w:p>
        </w:tc>
        <w:tc>
          <w:tcPr>
            <w:tcW w:w="48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 xml:space="preserve">Необходимо выполнить отделку путей эвакуации в здании материалами классов пожарной опасности, соответствующих требованиям таблиц 3, 28 приложения к Техническому регламенту  </w:t>
            </w:r>
          </w:p>
        </w:tc>
      </w:tr>
      <w:tr>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4.</w:t>
            </w:r>
          </w:p>
        </w:tc>
        <w:tc>
          <w:tcPr>
            <w:tcW w:w="311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Отсутствие устройств для самозакрывания дверей лестничных клеток, замена армированного остекления дверей лестничных клеток на обычное</w:t>
            </w:r>
          </w:p>
        </w:tc>
        <w:tc>
          <w:tcPr>
            <w:tcW w:w="34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Двери лестничных клеток должны быть оборудованы устройствами для самозакрывания и уплотнениями в притворах.</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 xml:space="preserve">Запрещается демонтировать данные устройства, а также эксплуатировать их в разобранном состоянии. </w:t>
            </w:r>
          </w:p>
          <w:p>
            <w:pPr>
              <w:pStyle w:val="Normal"/>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t>Запрещается заменять армированное стекло обычным в остеклении дверей и фрамуг.</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297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Неосведомленность о данном требовании пожарной безопасности  со стороны руководителей и лиц, ответственных за обеспечение пожарной безопасности объектов защиты</w:t>
            </w:r>
          </w:p>
        </w:tc>
        <w:tc>
          <w:tcPr>
            <w:tcW w:w="48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Необходимо оборудовать двери лестничных клеток устройствами для самозакрывания и уплотнениями в притворах.</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В случае, если остекление дверей предусмотрено в армированном исполнении, заменять армированные стекла возможно только на такие же армированные, либо необходимо заменить остекленную дверь на глухую.</w:t>
            </w:r>
          </w:p>
        </w:tc>
      </w:tr>
      <w:tr>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5.</w:t>
            </w:r>
          </w:p>
        </w:tc>
        <w:tc>
          <w:tcPr>
            <w:tcW w:w="311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Установка на путях эвакуации подъемно-опускных, вращающихся или раздвижных дверей, турникетов.</w:t>
            </w:r>
          </w:p>
        </w:tc>
        <w:tc>
          <w:tcPr>
            <w:tcW w:w="34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t xml:space="preserve">На путях эвакуации не допускается устанавливать раздвижные и подъемно-опускные двери и ворота. </w:t>
            </w:r>
          </w:p>
        </w:tc>
        <w:tc>
          <w:tcPr>
            <w:tcW w:w="297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Неосведомленность о данном требовании пожарной безопасности  со стороны руководителей и лиц, ответственных за обеспечение пожарной безопасности объектов защиты</w:t>
            </w:r>
          </w:p>
        </w:tc>
        <w:tc>
          <w:tcPr>
            <w:tcW w:w="48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t>При устройстве таких дверей  необходимо предусмотреть возможность вручную открыть их изнутри и заблокировать в открытом состоянии.</w:t>
            </w:r>
          </w:p>
          <w:p>
            <w:pPr>
              <w:pStyle w:val="Normal"/>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t>Вращающиеся двери и турникеты должны иметь технические решения, позволяющие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(подпункт «а» пункта 36 Правил противопожарного режима в РФ)</w:t>
            </w:r>
          </w:p>
        </w:tc>
      </w:tr>
      <w:tr>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6.</w:t>
            </w:r>
          </w:p>
        </w:tc>
        <w:tc>
          <w:tcPr>
            <w:tcW w:w="311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Хранение на путях эвакуации и под лестничными маршами предметов, оборудования и т.п.</w:t>
            </w:r>
          </w:p>
        </w:tc>
        <w:tc>
          <w:tcPr>
            <w:tcW w:w="34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t>Запрещается:</w:t>
            </w:r>
          </w:p>
          <w:p>
            <w:pPr>
              <w:pStyle w:val="Normal"/>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t>загромождать эвакуационные пути и выходы (в том числе проходы, коридоры, тамбуры, галереи, лифтовые холлы,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w:t>
            </w:r>
          </w:p>
          <w:p>
            <w:pPr>
              <w:pStyle w:val="Normal"/>
              <w:spacing w:lineRule="auto" w:line="240" w:before="0" w:after="0"/>
              <w:ind w:firstLine="540"/>
              <w:jc w:val="both"/>
              <w:rPr>
                <w:rFonts w:ascii="Times New Roman" w:hAnsi="Times New Roman" w:eastAsia="Times New Roman"/>
                <w:sz w:val="24"/>
                <w:szCs w:val="24"/>
              </w:rPr>
            </w:pPr>
            <w:r>
              <w:rPr>
                <w:rFonts w:eastAsia="Times New Roman" w:ascii="Times New Roman" w:hAnsi="Times New Roman"/>
                <w:sz w:val="24"/>
                <w:szCs w:val="24"/>
              </w:rPr>
              <w:t>устраивать в лестничных клетках и поэтажных коридорах кладовые и другие подсобные помещения, а также хранить под лестничными маршами и на лестничных площадках вещи, мебель и другие горючие материалы</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297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Неосведомленность о данном требовании пожарной безопасности  со стороны руководителей и лиц, ответственных за обеспечение пожарной безопасности объектов защиты.</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Пренебрежительное отношение к требованиям пожарной безопасности.</w:t>
            </w:r>
          </w:p>
        </w:tc>
        <w:tc>
          <w:tcPr>
            <w:tcW w:w="48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t>На эвакуационных путях и выходах (в том числе в проходах, коридорах, тамбурах, галереях, лифтовых холлах, лестничных площадках, маршах лестниц, дверях, эвакуационных люках) не должны размещаться какие либо предметы, оборудование и т.п.</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r>
      <w:tr>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7.</w:t>
            </w:r>
          </w:p>
        </w:tc>
        <w:tc>
          <w:tcPr>
            <w:tcW w:w="311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Устройство на путях эвакуации перепадов высот пола менее 45 см, не оборудованных пандусом или не менее чем 3 ступенями</w:t>
            </w:r>
          </w:p>
        </w:tc>
        <w:tc>
          <w:tcPr>
            <w:tcW w:w="34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Не допускается устраивать на путях эвакуации перепады высот пола менее 45 см, не оборудованных пандусом с уклоном не более чем 1:6 или не менее чем 3 ступенями</w:t>
            </w:r>
          </w:p>
        </w:tc>
        <w:tc>
          <w:tcPr>
            <w:tcW w:w="297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Неосведомленность о данном требовании пожарной безопасности  со стороны руководителей и лиц, ответственных за обеспечение пожарной безопасности объектов защиты</w:t>
            </w:r>
          </w:p>
        </w:tc>
        <w:tc>
          <w:tcPr>
            <w:tcW w:w="48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В соответствии с частью 1 статьи 6 Технического регламента:</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1. Оборудовать на всю ширину перепады высот пола менее 45 см пандусом с уклоном не более чем 1:6 или не менее чем 3 ступенями.</w:t>
            </w:r>
          </w:p>
          <w:p>
            <w:pPr>
              <w:pStyle w:val="Normal"/>
              <w:spacing w:lineRule="auto" w:line="240" w:before="0" w:after="0"/>
              <w:rPr>
                <w:rFonts w:ascii="Times New Roman" w:hAnsi="Times New Roman" w:eastAsia="Times New Roman"/>
                <w:b/>
                <w:b/>
                <w:sz w:val="24"/>
                <w:szCs w:val="24"/>
              </w:rPr>
            </w:pPr>
            <w:r>
              <w:rPr>
                <w:rFonts w:eastAsia="Times New Roman" w:ascii="Times New Roman" w:hAnsi="Times New Roman"/>
                <w:b/>
                <w:sz w:val="24"/>
                <w:szCs w:val="24"/>
              </w:rPr>
              <w:t>ИЛИ</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2. Провести расчет по оценке пожарного риска с учетом наличия перепада высот пола по методикам, утвержденным МЧС России. При обеспечении допустимого уровня пожарного риска, установленного Техническим регламентом, допускается сохранить существующие параметры эвакуационных путей и выходов.</w:t>
            </w:r>
          </w:p>
        </w:tc>
      </w:tr>
      <w:tr>
        <w:trPr/>
        <w:tc>
          <w:tcPr>
            <w:tcW w:w="15134" w:type="dxa"/>
            <w:gridSpan w:val="5"/>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Средства противопожарной защиты зданий и сооружений</w:t>
            </w:r>
          </w:p>
        </w:tc>
      </w:tr>
      <w:tr>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8.</w:t>
            </w:r>
          </w:p>
        </w:tc>
        <w:tc>
          <w:tcPr>
            <w:tcW w:w="311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Отсутствие (неисправность) систем вытяжной противодымной вентиляции из помещений</w:t>
            </w:r>
          </w:p>
        </w:tc>
        <w:tc>
          <w:tcPr>
            <w:tcW w:w="34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540"/>
              <w:jc w:val="both"/>
              <w:rPr>
                <w:rFonts w:ascii="Times New Roman" w:hAnsi="Times New Roman" w:eastAsia="Times New Roman"/>
                <w:sz w:val="24"/>
                <w:szCs w:val="24"/>
              </w:rPr>
            </w:pPr>
            <w:r>
              <w:rPr>
                <w:rFonts w:eastAsia="Times New Roman" w:ascii="Times New Roman" w:hAnsi="Times New Roman"/>
                <w:sz w:val="24"/>
                <w:szCs w:val="24"/>
              </w:rPr>
              <w:t>Из помещений, предусмотренных  п. 7.2 Свода правил СП 7.13130.2013, следует предусматривать удаление продуктов горения при пожаре системами вытяжной противодымной вентиляции</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297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Высокий уровень издержек по соблюдению обязательного требования по сравнению с уровнем возможной ответственности</w:t>
            </w:r>
          </w:p>
        </w:tc>
        <w:tc>
          <w:tcPr>
            <w:tcW w:w="48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В соответствии с частью 1 статьи 6 Федерального закона от 22 июля 2008 года № 123-ФЗ «Технический регламент о требованиях пожарной безопасности» (далее – Технический регламент):</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1. Предусмотреть естественное проветривание помещений при пожаре согласно требованиям СП 7.13130.2013.</w:t>
            </w:r>
          </w:p>
          <w:p>
            <w:pPr>
              <w:pStyle w:val="Normal"/>
              <w:spacing w:lineRule="auto" w:line="240" w:before="0" w:after="0"/>
              <w:rPr>
                <w:rFonts w:ascii="Times New Roman" w:hAnsi="Times New Roman" w:eastAsia="Times New Roman"/>
                <w:b/>
                <w:b/>
                <w:sz w:val="24"/>
                <w:szCs w:val="24"/>
              </w:rPr>
            </w:pPr>
            <w:r>
              <w:rPr>
                <w:rFonts w:eastAsia="Times New Roman" w:ascii="Times New Roman" w:hAnsi="Times New Roman"/>
                <w:b/>
                <w:sz w:val="24"/>
                <w:szCs w:val="24"/>
              </w:rPr>
              <w:t>ИЛИ</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2. Оборудовать помещения вытяжной противодымной вентиляцией.</w:t>
            </w:r>
          </w:p>
          <w:p>
            <w:pPr>
              <w:pStyle w:val="Normal"/>
              <w:spacing w:lineRule="auto" w:line="240" w:before="0" w:after="0"/>
              <w:rPr>
                <w:rFonts w:ascii="Times New Roman" w:hAnsi="Times New Roman" w:eastAsia="Times New Roman"/>
                <w:b/>
                <w:b/>
                <w:sz w:val="24"/>
                <w:szCs w:val="24"/>
              </w:rPr>
            </w:pPr>
            <w:r>
              <w:rPr>
                <w:rFonts w:eastAsia="Times New Roman" w:ascii="Times New Roman" w:hAnsi="Times New Roman"/>
                <w:b/>
                <w:sz w:val="24"/>
                <w:szCs w:val="24"/>
              </w:rPr>
              <w:t>ИЛИ</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3. Провести расчет по оценке пожарного риска, учитывая отсутствие систем вытяжной противодымной вентиляции из помещений, по методикам, утвержденным МЧС России. При обеспечении допустимого уровня пожарного риска, установленного Техническим регламентом, допускается не оборудовать здание системами вытяжной противодымной вентиляции.</w:t>
            </w:r>
          </w:p>
        </w:tc>
      </w:tr>
      <w:tr>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9.</w:t>
            </w:r>
          </w:p>
        </w:tc>
        <w:tc>
          <w:tcPr>
            <w:tcW w:w="311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 xml:space="preserve">Отсутствие (неисправность) автоматической установки пожаротушения </w:t>
            </w:r>
          </w:p>
        </w:tc>
        <w:tc>
          <w:tcPr>
            <w:tcW w:w="34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Здания, сооружеения и помещения, перечисленные в приложении А Свода правил СП 5.13130.2009, подлежат оборудованию автоматическими установками пожаротушения</w:t>
            </w:r>
          </w:p>
        </w:tc>
        <w:tc>
          <w:tcPr>
            <w:tcW w:w="297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Высокий уровень издержек по соблюдению обязательного требования по сравнению с уровнем возможной ответственности</w:t>
            </w:r>
          </w:p>
        </w:tc>
        <w:tc>
          <w:tcPr>
            <w:tcW w:w="48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В соответствии с частью 1 статьи 6 Федерального закона от 22 июля 2008 года № 123-ФЗ «Технический регламент о требованиях пожарной безопасности» (далее – Технический регламент):</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1. Оборудовать здание автоматической установкой пожаротушения согласно требованиям СП 5.13130.2009.</w:t>
            </w:r>
          </w:p>
          <w:p>
            <w:pPr>
              <w:pStyle w:val="Normal"/>
              <w:spacing w:lineRule="auto" w:line="240" w:before="0" w:after="0"/>
              <w:rPr>
                <w:rFonts w:ascii="Times New Roman" w:hAnsi="Times New Roman" w:eastAsia="Times New Roman"/>
                <w:b/>
                <w:b/>
                <w:sz w:val="24"/>
                <w:szCs w:val="24"/>
              </w:rPr>
            </w:pPr>
            <w:r>
              <w:rPr>
                <w:rFonts w:eastAsia="Times New Roman" w:ascii="Times New Roman" w:hAnsi="Times New Roman"/>
                <w:b/>
                <w:sz w:val="24"/>
                <w:szCs w:val="24"/>
              </w:rPr>
              <w:t>ИЛИ</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2. Провести расчет по оценке пожарного риска, учитывая отсутствие систем пожаротушения, по методикам, утвержденным МЧС России. При обеспечении допустимого уровня пожарного риска, установленного Техническим регламентом, допускается не оборудовать здание системой пожаротушения.</w:t>
            </w:r>
          </w:p>
        </w:tc>
      </w:tr>
      <w:tr>
        <w:trPr/>
        <w:tc>
          <w:tcPr>
            <w:tcW w:w="15134" w:type="dxa"/>
            <w:gridSpan w:val="5"/>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Предотвращение распространения пожара</w:t>
            </w:r>
          </w:p>
        </w:tc>
      </w:tr>
      <w:tr>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10.</w:t>
            </w:r>
          </w:p>
        </w:tc>
        <w:tc>
          <w:tcPr>
            <w:tcW w:w="311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Помещения различного класса функциональной пожарной опасности не разделены ограждающими конструкциями с нормируемым пределом огнестойкости</w:t>
            </w:r>
          </w:p>
        </w:tc>
        <w:tc>
          <w:tcPr>
            <w:tcW w:w="34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t>Части зданий, сооружений, пожарных отсеков, а также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297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Высокий уровень издержек по соблюдению обязательного требования по сравнению с уровнем возможной ответственности</w:t>
            </w:r>
          </w:p>
        </w:tc>
        <w:tc>
          <w:tcPr>
            <w:tcW w:w="48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t>В соответствии с требованиями части 1 статьи 88 Технического регламента</w:t>
            </w:r>
          </w:p>
          <w:p>
            <w:pPr>
              <w:pStyle w:val="Normal"/>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t xml:space="preserve">необходимо разделить ограждающими конструкциями с нормируемыми пределами огнестойкости и классами конструктивной пожарной опасности или противопожарными преградами части зданий, сооружений, пожарных отсеков, а также помещения различных классов функциональной пожарной опасности должны быть разделены между собой </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r>
      <w:tr>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11.</w:t>
            </w:r>
          </w:p>
        </w:tc>
        <w:tc>
          <w:tcPr>
            <w:tcW w:w="311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Несоответствие пределов огнестойкости элементов заполнения проемов в противопожарных преградах</w:t>
            </w:r>
          </w:p>
        </w:tc>
        <w:tc>
          <w:tcPr>
            <w:tcW w:w="34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Элементы заполнения проемов в противопожарных преградах должны иметь предел огнестойкости соответствующий типу противопожарной преграды согласно таблице 23 приложения к Техническому регламенту</w:t>
            </w:r>
          </w:p>
        </w:tc>
        <w:tc>
          <w:tcPr>
            <w:tcW w:w="297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Неосведомленность о данном требовании пожарной безопасности  со стороны руководителей и лиц, ответственных за обеспечение пожарной безопасности объектов защиты</w:t>
            </w:r>
          </w:p>
        </w:tc>
        <w:tc>
          <w:tcPr>
            <w:tcW w:w="48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Выполнить элементы заполнения проемов в противопожарных преградах с пределом огнестойкости, соответствующим типу противопожарной преграды согласно таблице 23 приложения к Техническому регламенту.</w:t>
            </w:r>
          </w:p>
        </w:tc>
      </w:tr>
      <w:tr>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12.</w:t>
            </w:r>
          </w:p>
        </w:tc>
        <w:tc>
          <w:tcPr>
            <w:tcW w:w="311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Отсутствие устройств для самозакрывания противопожарных дверей (ворот)</w:t>
            </w:r>
          </w:p>
        </w:tc>
        <w:tc>
          <w:tcPr>
            <w:tcW w:w="34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t>Противопожарные двери и ворота должны иметь устройства для самозакрывания. Противопожарные двери, ворота, шторы, люки и клапаны, которые могут эксплуатироваться в открытом положении, должны быть оборудованы устройствами, обеспечивающими их автоматическое закрывание при пожаре</w:t>
            </w:r>
          </w:p>
          <w:p>
            <w:pPr>
              <w:pStyle w:val="Normal"/>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r>
          </w:p>
        </w:tc>
        <w:tc>
          <w:tcPr>
            <w:tcW w:w="297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Неосведомленность о данном требовании пожарной безопасности  со стороны руководителей и лиц, ответственных за обеспечение пожарной безопасности объектов защиты</w:t>
            </w:r>
          </w:p>
        </w:tc>
        <w:tc>
          <w:tcPr>
            <w:tcW w:w="48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t>Необходимо оборудовать противопожарные двери и ворота устройствами для самозакрывания. Противопожарные двери, ворота, шторы, люки и клапаны, которые могут эксплуатироваться в открытом положении, должны быть оборудованы устройствами, обеспечивающими их автоматическое закрывание при пожаре</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r>
      <w:tr>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13.</w:t>
            </w:r>
          </w:p>
        </w:tc>
        <w:tc>
          <w:tcPr>
            <w:tcW w:w="311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Не организовано проведение проверки работоспособности противопожарных дверей с составлением акта проверки</w:t>
            </w:r>
          </w:p>
        </w:tc>
        <w:tc>
          <w:tcPr>
            <w:tcW w:w="34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Противопожарные двери должны находиться в исправном состоянии. Ежеквартально необходимо проводить проверку работоспособности с составлением соответствующего акта.</w:t>
            </w:r>
          </w:p>
        </w:tc>
        <w:tc>
          <w:tcPr>
            <w:tcW w:w="297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Неосведомленность о данном требовании пожарной безопасности  со стороны руководителей и лиц, ответственных за обеспечение пожарной безопасности объектов защиты.</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Отсутствие в нормативных документах по пожарной безопасности сведений ро порядке проведения указанного мероприятия.</w:t>
            </w:r>
          </w:p>
        </w:tc>
        <w:tc>
          <w:tcPr>
            <w:tcW w:w="48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540"/>
              <w:jc w:val="both"/>
              <w:rPr>
                <w:rFonts w:ascii="Times New Roman" w:hAnsi="Times New Roman" w:eastAsia="Times New Roman"/>
                <w:sz w:val="24"/>
                <w:szCs w:val="24"/>
              </w:rPr>
            </w:pPr>
            <w:r>
              <w:rPr>
                <w:rFonts w:eastAsia="Times New Roman" w:ascii="Times New Roman" w:hAnsi="Times New Roman"/>
                <w:sz w:val="24"/>
                <w:szCs w:val="24"/>
              </w:rPr>
              <w:t>Руководитель организации обязан обеспечить исправное состояние систем и средств противопожарной защиты объекта (автоматических (автономных) установок пожаротушения, автоматических установок пожарной сигнализации, установок систем противодымной защиты, системы оповещения людей о пожаре, средств пожарной сигнализации, противопожарных дверей, противопожарных и дымовых клапанов, защитных устройств в противопожарных преградах) и организовать не реже 1 раза в квартал проведение проверки работоспособности указанных систем и средств противопожарной защиты объекта с оформлением соответствующего акта проверки.</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r>
      <w:tr>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14.</w:t>
            </w:r>
          </w:p>
        </w:tc>
        <w:tc>
          <w:tcPr>
            <w:tcW w:w="311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Несоответствие противопожарных расстояний между зданиями (сооружениями) требованиям нормативных документов по пожарной безопасности</w:t>
            </w:r>
          </w:p>
        </w:tc>
        <w:tc>
          <w:tcPr>
            <w:tcW w:w="34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t xml:space="preserve">Противопожарные расстояния между зданиями, сооружениями должны обеспечивать нераспространение пожара на соседние здания, сооружения. </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297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Неосведомленность о данном требовании пожарной безопасности  со стороны руководителей и лиц, ответственных за обеспечение пожарной безопасности объектов защиты.</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48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1. Противопожарные расстояния предусмотреть в соответствии с требованиями Технического регламента и Свода правил СП 4.13130.2013.</w:t>
            </w:r>
          </w:p>
          <w:p>
            <w:pPr>
              <w:pStyle w:val="Normal"/>
              <w:spacing w:lineRule="auto" w:line="240" w:before="0" w:after="0"/>
              <w:rPr>
                <w:rFonts w:ascii="Times New Roman" w:hAnsi="Times New Roman" w:eastAsia="Times New Roman"/>
                <w:b/>
                <w:b/>
                <w:sz w:val="24"/>
                <w:szCs w:val="24"/>
              </w:rPr>
            </w:pPr>
            <w:r>
              <w:rPr>
                <w:rFonts w:eastAsia="Times New Roman" w:ascii="Times New Roman" w:hAnsi="Times New Roman"/>
                <w:b/>
                <w:sz w:val="24"/>
                <w:szCs w:val="24"/>
              </w:rPr>
              <w:t>ИЛИ</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2. Выполнить иные мероприятия, направленные на предотвращение распространения пожара между зданиями (сооружениями): возможен выбор иных противопожарных преград или их комбинаций в соответстьвии со статьей 37 Технического регламента.</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 xml:space="preserve"> </w:t>
            </w:r>
          </w:p>
        </w:tc>
      </w:tr>
      <w:tr>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15.</w:t>
            </w:r>
          </w:p>
        </w:tc>
        <w:tc>
          <w:tcPr>
            <w:tcW w:w="311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t>Отсутствие тамбур-шлюзов с подпором воздуха при пожаре в противопожарных преградах, отделяющих помещения категорий А и Б от помещений других категорий, коридоров, лестничных клеток и лифтовых холлов</w:t>
            </w:r>
          </w:p>
        </w:tc>
        <w:tc>
          <w:tcPr>
            <w:tcW w:w="34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t>В противопожарных преградах, отделяющих помещения категорий А и Б от помещений других категорий, коридоров, лестничных клеток и лифтовых холлов, должны быть предусмотрены тамбур-шлюзы с постоянным подпором воздуха.</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297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Неосведомленность о данном требовании пожарной безопасности  со стороны руководителей и лиц, ответственных за обеспечение пожарной безопасности объектов защиты.</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48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t>Необходимо выполнить тамбур-шлюзы с подпором воздуха при пожаре в противопожарных преградах, отделяющих помещения категорий А и Б от помещений других категорий, коридоров, лестничных клеток и лифтовых холлов.</w:t>
            </w:r>
          </w:p>
          <w:p>
            <w:pPr>
              <w:pStyle w:val="Normal"/>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t>При невозможности устройства тамбур-шлюзов в противопожарных преградах, отделяющих помещения категорий А и Б от других помещений, или противопожарных дверей, ворот, штор, люков и клапанов в противопожарных преградах, отделяющих помещения категории В от других помещений, следует предусмотреть комплекс мероприятий по предотвращению распространения пожара на смежные этажи и в смежные помещения</w:t>
            </w:r>
          </w:p>
        </w:tc>
      </w:tr>
      <w:tr>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16.</w:t>
            </w:r>
          </w:p>
        </w:tc>
        <w:tc>
          <w:tcPr>
            <w:tcW w:w="311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t>Отсутствие в подземных этажах зданий и сооружений при входе в лифт тамбур-шлюзов 1-го типа с подпором воздуха при пожаре.</w:t>
            </w:r>
          </w:p>
        </w:tc>
        <w:tc>
          <w:tcPr>
            <w:tcW w:w="34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t>В подземных этажах зданий и сооружений вход в лифт должен осуществляться через тамбур-шлюзы 1-го типа с избыточным давлением воздуха при пожаре</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297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Неосведомленность о данном требовании пожарной безопасности  со стороны руководителей и лиц, ответственных за обеспечение пожарной безопасности объектов защиты.</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48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t>В подземных этажах зданий и сооружений при входе в лифт необходимо выполнить тамбур-шлюзы 1-го типа с избыточным давлением воздуха при пожаре.</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r>
      <w:tr>
        <w:trPr/>
        <w:tc>
          <w:tcPr>
            <w:tcW w:w="15134" w:type="dxa"/>
            <w:gridSpan w:val="5"/>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Общие нарушения</w:t>
            </w:r>
          </w:p>
        </w:tc>
      </w:tr>
      <w:tr>
        <w:trPr/>
        <w:tc>
          <w:tcPr>
            <w:tcW w:w="8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17.</w:t>
            </w:r>
          </w:p>
        </w:tc>
        <w:tc>
          <w:tcPr>
            <w:tcW w:w="311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t>Не разработаны специальные технические условия для зданий, сооружений, для которых отсутствуют нормативные требования пожарной безопасности.</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34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t>Для зданий, сооружений, для которых отсутствуют нормативные требования пожарной безопасности, на основе требований Технического регламента должны быть разработаны специальные технические условия, отражающие специфику обеспечения их пожарной безопасности и содержащие комплекс необходимых инженерно-технических и организационных мероприятий по обеспечению пожарной безопасности.</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297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Неосведомленность о данном требовании пожарной безопасности  со стороны руководителей и лиц, ответственных за обеспечение пожарной безопасности объектов защиты.</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482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t>Для зданий, сооружений, для которых отсутствуют нормативные требования пожарной безопасности, на основе требований Технического регламента необходимо разработать специальные технические условия, отражающие специфику обеспечения их пожарной безопасности и содержащие комплекс необходимых инженерно-технических и организационных мероприятий по обеспечению пожарной безопасности, и выполнить указанный  комплекс мероприятий.</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r>
    </w:tbl>
    <w:p>
      <w:pPr>
        <w:pStyle w:val="NoSpacing"/>
        <w:ind w:left="1065" w:hanging="0"/>
        <w:rPr>
          <w:rFonts w:ascii="Times New Roman" w:hAnsi="Times New Roman"/>
          <w:sz w:val="28"/>
          <w:szCs w:val="28"/>
        </w:rPr>
      </w:pPr>
      <w:r>
        <w:rPr>
          <w:rFonts w:ascii="Times New Roman" w:hAnsi="Times New Roman"/>
          <w:sz w:val="28"/>
          <w:szCs w:val="28"/>
        </w:rPr>
      </w:r>
    </w:p>
    <w:p>
      <w:pPr>
        <w:pStyle w:val="NoSpacing"/>
        <w:ind w:left="1065" w:hanging="0"/>
        <w:rPr>
          <w:rFonts w:ascii="Times New Roman" w:hAnsi="Times New Roman"/>
          <w:sz w:val="28"/>
          <w:szCs w:val="28"/>
        </w:rPr>
      </w:pPr>
      <w:r>
        <w:rPr>
          <w:rFonts w:ascii="Times New Roman" w:hAnsi="Times New Roman"/>
          <w:sz w:val="28"/>
          <w:szCs w:val="28"/>
        </w:rPr>
      </w:r>
    </w:p>
    <w:p>
      <w:pPr>
        <w:pStyle w:val="NoSpacing"/>
        <w:ind w:left="1065" w:hanging="0"/>
        <w:rPr>
          <w:rFonts w:ascii="Times New Roman" w:hAnsi="Times New Roman"/>
          <w:sz w:val="28"/>
          <w:szCs w:val="28"/>
        </w:rPr>
      </w:pPr>
      <w:r>
        <w:rPr>
          <w:rFonts w:ascii="Times New Roman" w:hAnsi="Times New Roman"/>
          <w:sz w:val="28"/>
          <w:szCs w:val="28"/>
        </w:rPr>
      </w:r>
    </w:p>
    <w:p>
      <w:pPr>
        <w:pStyle w:val="NoSpacing"/>
        <w:numPr>
          <w:ilvl w:val="0"/>
          <w:numId w:val="2"/>
        </w:numPr>
        <w:jc w:val="center"/>
        <w:rPr>
          <w:rFonts w:ascii="Times New Roman" w:hAnsi="Times New Roman"/>
          <w:sz w:val="28"/>
          <w:szCs w:val="28"/>
        </w:rPr>
      </w:pPr>
      <w:r>
        <w:rPr>
          <w:rFonts w:ascii="Times New Roman" w:hAnsi="Times New Roman"/>
          <w:sz w:val="28"/>
          <w:szCs w:val="28"/>
        </w:rPr>
        <w:t>Лицензионный контроль при осуществлении деятельности по монтажу, техническому обслуживанию и ремонту средств обеспечения пожарной безопасности зданий и сооружений.</w:t>
      </w:r>
      <w:bookmarkStart w:id="0" w:name="_GoBack"/>
      <w:bookmarkEnd w:id="0"/>
    </w:p>
    <w:p>
      <w:pPr>
        <w:pStyle w:val="NoSpacing"/>
        <w:jc w:val="center"/>
        <w:rPr>
          <w:rFonts w:ascii="Times New Roman" w:hAnsi="Times New Roman"/>
          <w:sz w:val="28"/>
          <w:szCs w:val="28"/>
        </w:rPr>
      </w:pPr>
      <w:r>
        <w:rPr>
          <w:rFonts w:ascii="Times New Roman" w:hAnsi="Times New Roman"/>
          <w:sz w:val="28"/>
          <w:szCs w:val="28"/>
        </w:rPr>
      </w:r>
    </w:p>
    <w:tbl>
      <w:tblPr>
        <w:tblW w:w="14570" w:type="dxa"/>
        <w:jc w:val="left"/>
        <w:tblInd w:w="0" w:type="dxa"/>
        <w:tblCellMar>
          <w:top w:w="0" w:type="dxa"/>
          <w:left w:w="108" w:type="dxa"/>
          <w:bottom w:w="0" w:type="dxa"/>
          <w:right w:w="108" w:type="dxa"/>
        </w:tblCellMar>
        <w:tblLook w:val="04a0" w:noVBand="1" w:noHBand="0" w:lastColumn="0" w:firstColumn="1" w:lastRow="0" w:firstRow="1"/>
      </w:tblPr>
      <w:tblGrid>
        <w:gridCol w:w="810"/>
        <w:gridCol w:w="4062"/>
        <w:gridCol w:w="3923"/>
        <w:gridCol w:w="2265"/>
        <w:gridCol w:w="3510"/>
      </w:tblGrid>
      <w:tr>
        <w:trPr/>
        <w:tc>
          <w:tcPr>
            <w:tcW w:w="14570" w:type="dxa"/>
            <w:gridSpan w:val="5"/>
            <w:tcBorders>
              <w:bottom w:val="single" w:sz="4" w:space="0" w:color="000000"/>
            </w:tcBorders>
          </w:tcPr>
          <w:p>
            <w:pPr>
              <w:pStyle w:val="Normal"/>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tc>
      </w:tr>
      <w:tr>
        <w:trPr/>
        <w:tc>
          <w:tcPr>
            <w:tcW w:w="8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
                <w:b/>
                <w:sz w:val="24"/>
                <w:szCs w:val="24"/>
              </w:rPr>
            </w:pPr>
            <w:r>
              <w:rPr>
                <w:rFonts w:eastAsia="Times New Roman" w:ascii="Times New Roman" w:hAnsi="Times New Roman"/>
                <w:b/>
                <w:sz w:val="24"/>
                <w:szCs w:val="24"/>
              </w:rPr>
              <w:t xml:space="preserve">№ </w:t>
            </w:r>
            <w:r>
              <w:rPr>
                <w:rFonts w:eastAsia="Times New Roman" w:ascii="Times New Roman" w:hAnsi="Times New Roman"/>
                <w:b/>
                <w:sz w:val="24"/>
                <w:szCs w:val="24"/>
              </w:rPr>
              <w:t>п/п</w:t>
            </w:r>
          </w:p>
        </w:tc>
        <w:tc>
          <w:tcPr>
            <w:tcW w:w="40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
                <w:b/>
                <w:sz w:val="24"/>
                <w:szCs w:val="24"/>
              </w:rPr>
            </w:pPr>
            <w:r>
              <w:rPr>
                <w:rFonts w:eastAsia="Times New Roman" w:ascii="Times New Roman" w:hAnsi="Times New Roman"/>
                <w:b/>
                <w:sz w:val="24"/>
                <w:szCs w:val="24"/>
              </w:rPr>
              <w:t>Типовое нарушение лицензионных требований</w:t>
            </w:r>
          </w:p>
        </w:tc>
        <w:tc>
          <w:tcPr>
            <w:tcW w:w="392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
                <w:b/>
                <w:sz w:val="24"/>
                <w:szCs w:val="24"/>
              </w:rPr>
            </w:pPr>
            <w:r>
              <w:rPr>
                <w:rFonts w:eastAsia="Times New Roman" w:ascii="Times New Roman" w:hAnsi="Times New Roman"/>
                <w:b/>
                <w:sz w:val="24"/>
                <w:szCs w:val="24"/>
              </w:rPr>
              <w:t>Разъяснение возможных мероприятий по устранению</w:t>
            </w:r>
          </w:p>
        </w:tc>
        <w:tc>
          <w:tcPr>
            <w:tcW w:w="22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
                <w:b/>
                <w:sz w:val="24"/>
                <w:szCs w:val="24"/>
              </w:rPr>
            </w:pPr>
            <w:r>
              <w:rPr>
                <w:rFonts w:eastAsia="Times New Roman" w:ascii="Times New Roman" w:hAnsi="Times New Roman"/>
                <w:b/>
                <w:sz w:val="24"/>
                <w:szCs w:val="24"/>
              </w:rPr>
              <w:t>Причины возникновения типовых нарушений</w:t>
            </w:r>
          </w:p>
        </w:tc>
        <w:tc>
          <w:tcPr>
            <w:tcW w:w="35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
                <w:b/>
                <w:sz w:val="24"/>
                <w:szCs w:val="24"/>
              </w:rPr>
            </w:pPr>
            <w:r>
              <w:rPr>
                <w:rFonts w:eastAsia="Times New Roman" w:ascii="Times New Roman" w:hAnsi="Times New Roman"/>
                <w:b/>
                <w:sz w:val="24"/>
                <w:szCs w:val="24"/>
              </w:rPr>
              <w:t>Руководство по соблюдению обязательных требований</w:t>
            </w:r>
          </w:p>
        </w:tc>
      </w:tr>
      <w:tr>
        <w:trPr/>
        <w:tc>
          <w:tcPr>
            <w:tcW w:w="8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1.</w:t>
            </w:r>
          </w:p>
        </w:tc>
        <w:tc>
          <w:tcPr>
            <w:tcW w:w="40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Отсутствие у лицензиата оборудования, инструмента, технических средств, в том числе средств измерения, принадлежащих ему на праве собственности или ином законном основании, соответствующих установленным требованиям и необходимых для выполнения работ и оказания услуг</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392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У лицензиата в наличии должно находится оборудование, инструмент, технические средства, в том числе средства измерения, принадлежащие ему на праве собственности или ином законном основании, соответствующие установленным требованиям и необходимые для выполнения работ и оказания услуг</w:t>
            </w:r>
          </w:p>
        </w:tc>
        <w:tc>
          <w:tcPr>
            <w:tcW w:w="22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Неясность (неоднозначность) трактовки обязательного требования.</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Отсутствует утвержденный перечень необходимого оборудования, инструмента, технических средств, в том числе средств измерения.</w:t>
            </w:r>
          </w:p>
        </w:tc>
        <w:tc>
          <w:tcPr>
            <w:tcW w:w="35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Приобрести в собственность (взять в аренду) оборудование, инструмент, технические средства, в том числе средства измерения, необходимые для выполнения работ (оказания услуг), указанных в лицензии.</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Средства измерения должны иметь документы, подтверждающие их соответствие установленным требованиям (свидетельства о поверке, паспорта на приборы с отметками о поверках)</w:t>
            </w:r>
          </w:p>
        </w:tc>
      </w:tr>
      <w:tr>
        <w:trPr/>
        <w:tc>
          <w:tcPr>
            <w:tcW w:w="8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2.</w:t>
            </w:r>
          </w:p>
        </w:tc>
        <w:tc>
          <w:tcPr>
            <w:tcW w:w="40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Отсутствие в штате у лицензиата работников, заключивших с ним трудовые договоры, имеющих профессиональное техническое образование (профессиональную подготовку) и минимальный стаж работы (не менее чем у 50 процентов работников) в области лицензируемой деятельности, составляющий 3 года, - для юридического лица</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392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olor w:val="FF0000"/>
                <w:sz w:val="24"/>
                <w:szCs w:val="24"/>
              </w:rPr>
            </w:pPr>
            <w:r>
              <w:rPr>
                <w:rFonts w:eastAsia="Times New Roman" w:ascii="Times New Roman" w:hAnsi="Times New Roman"/>
                <w:sz w:val="24"/>
                <w:szCs w:val="24"/>
              </w:rPr>
              <w:t>В штате юридического лица должны состоять работники, имеющие профессиональное техническое образование (профессиональную подготовку), а также</w:t>
            </w:r>
            <w:r>
              <w:rPr>
                <w:rFonts w:eastAsia="Times New Roman" w:ascii="Times New Roman" w:hAnsi="Times New Roman"/>
                <w:color w:val="FF0000"/>
                <w:sz w:val="24"/>
                <w:szCs w:val="24"/>
              </w:rPr>
              <w:t xml:space="preserve"> </w:t>
            </w:r>
            <w:r>
              <w:rPr>
                <w:rFonts w:eastAsia="Times New Roman" w:ascii="Times New Roman" w:hAnsi="Times New Roman"/>
                <w:sz w:val="24"/>
                <w:szCs w:val="24"/>
              </w:rPr>
              <w:t xml:space="preserve">минимальный стаж работы не менее 3 лет в области лицензируемой деятельности (не менее чем у 50 процентов работников) </w:t>
            </w:r>
          </w:p>
          <w:p>
            <w:pPr>
              <w:pStyle w:val="Normal"/>
              <w:spacing w:lineRule="auto" w:line="240" w:before="0" w:after="0"/>
              <w:jc w:val="both"/>
              <w:rPr>
                <w:rFonts w:ascii="Times New Roman" w:hAnsi="Times New Roman" w:eastAsia="Times New Roman"/>
                <w:color w:val="FF0000"/>
                <w:sz w:val="24"/>
                <w:szCs w:val="24"/>
              </w:rPr>
            </w:pPr>
            <w:r>
              <w:rPr>
                <w:rFonts w:eastAsia="Times New Roman" w:ascii="Times New Roman" w:hAnsi="Times New Roman"/>
                <w:color w:val="FF0000"/>
                <w:sz w:val="24"/>
                <w:szCs w:val="24"/>
              </w:rPr>
            </w:r>
          </w:p>
          <w:p>
            <w:pPr>
              <w:pStyle w:val="Normal"/>
              <w:spacing w:lineRule="auto" w:line="240" w:before="0" w:after="0"/>
              <w:rPr>
                <w:rFonts w:ascii="Times New Roman" w:hAnsi="Times New Roman" w:eastAsia="Times New Roman"/>
                <w:color w:val="FF0000"/>
                <w:sz w:val="24"/>
                <w:szCs w:val="24"/>
              </w:rPr>
            </w:pPr>
            <w:r>
              <w:rPr>
                <w:rFonts w:eastAsia="Times New Roman" w:ascii="Times New Roman" w:hAnsi="Times New Roman"/>
                <w:color w:val="FF0000"/>
                <w:sz w:val="24"/>
                <w:szCs w:val="24"/>
              </w:rPr>
            </w:r>
          </w:p>
        </w:tc>
        <w:tc>
          <w:tcPr>
            <w:tcW w:w="22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Неясность (неоднозначность) трактовки обязательного требования.</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Не утвержден перечень технических специальностей и профессий, которые соответствуют выполняемым работам и оказываемым услугам.</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35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Подобрать в штат работников, имеющих высшее, либо среднее профессиональное техническое образование (профессиональную подготовку).</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Стаж работы в области лицензируемой деятельности, не менее чем у 50 процентов работников, должен составлять не менее 3 лет.</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Срок освоения программ профессиональной переподготовки должен быть не менее 250 часов.</w:t>
            </w:r>
          </w:p>
        </w:tc>
      </w:tr>
      <w:tr>
        <w:trPr/>
        <w:tc>
          <w:tcPr>
            <w:tcW w:w="8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3.</w:t>
            </w:r>
          </w:p>
        </w:tc>
        <w:tc>
          <w:tcPr>
            <w:tcW w:w="40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Отсутствие у</w:t>
            </w:r>
            <w:r>
              <w:rPr>
                <w:rFonts w:eastAsia="Times New Roman"/>
              </w:rPr>
              <w:t xml:space="preserve"> </w:t>
            </w:r>
            <w:r>
              <w:rPr>
                <w:rFonts w:eastAsia="Times New Roman" w:ascii="Times New Roman" w:hAnsi="Times New Roman"/>
                <w:sz w:val="24"/>
                <w:szCs w:val="24"/>
              </w:rPr>
              <w:t>лицензиата документов, подтверждающих повышение квалификации работников в области лицензируемой деятельности не реже 1 раза в 5 лет</w:t>
            </w:r>
          </w:p>
        </w:tc>
        <w:tc>
          <w:tcPr>
            <w:tcW w:w="392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t xml:space="preserve">Работники юридического лица (лицензиата), осуществляющие лицензируемую деятельность, и индивидуальный предприниматель (лицензиат) должны проходить курсы повышения квалификации в области лицензируемой деятельности не реже 1 раза в 5 лет </w:t>
            </w:r>
          </w:p>
        </w:tc>
        <w:tc>
          <w:tcPr>
            <w:tcW w:w="22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Отсутствие прямой связи несоблюдения обязательного требования с риском причинения ущерба охраняемым законом ценностям.</w:t>
            </w:r>
          </w:p>
        </w:tc>
        <w:tc>
          <w:tcPr>
            <w:tcW w:w="35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Работникам юридического лица (лицензиата) и индивидуальному предпринимателю (лицензиату) проходить курсы повышения квалификации в области лицензируемой деятельности не реже 1 раза в 5 лет.</w:t>
            </w:r>
          </w:p>
        </w:tc>
      </w:tr>
      <w:tr>
        <w:trPr/>
        <w:tc>
          <w:tcPr>
            <w:tcW w:w="8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4.</w:t>
            </w:r>
          </w:p>
        </w:tc>
        <w:tc>
          <w:tcPr>
            <w:tcW w:w="40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Не выполнение лицензиатом требований, предъявляемых к монтажу, техническому обслуживанию и ремонту средств обеспечения пожарной безопасности зданий и сооружений, установленных нормативными правовыми актами и нормативно-техническими документами в соответствии со статьей 20 Федерального закона "О пожарной безопасности"</w:t>
            </w:r>
          </w:p>
        </w:tc>
        <w:tc>
          <w:tcPr>
            <w:tcW w:w="392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540"/>
              <w:jc w:val="both"/>
              <w:rPr>
                <w:rFonts w:ascii="Times New Roman" w:hAnsi="Times New Roman" w:eastAsia="Times New Roman"/>
                <w:sz w:val="24"/>
                <w:szCs w:val="24"/>
              </w:rPr>
            </w:pPr>
            <w:r>
              <w:rPr>
                <w:rFonts w:eastAsia="Times New Roman" w:ascii="Times New Roman" w:hAnsi="Times New Roman"/>
                <w:sz w:val="24"/>
                <w:szCs w:val="24"/>
              </w:rPr>
              <w:t>В ходе проведения работ (оказания услуг) указанных в лицензии, лицензиатом должны выполняться требования нормативных документов по пожарной безопасности, в которых содержаться требования к выполнению указанных работ (услуг)</w:t>
            </w:r>
          </w:p>
        </w:tc>
        <w:tc>
          <w:tcPr>
            <w:tcW w:w="22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Небрежное отношение лицензиата к выполнению обязательного требования.</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Незнание работниками лицензиата обязательных требований, предъявляемых к проводимым работам (оказываемым услуга).</w:t>
            </w:r>
          </w:p>
        </w:tc>
        <w:tc>
          <w:tcPr>
            <w:tcW w:w="35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t>В ходе проведения работ (оказания услуг), указанных в лицензии, выполнять требования нормативных документов по пожарной безопасности, в которых содержаться требования к выполнению указанных работ (услуг).</w:t>
            </w:r>
          </w:p>
          <w:p>
            <w:pPr>
              <w:pStyle w:val="Normal"/>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t>Провести дополнительное обучение работников лицензиата в области лицензируемой деятельности.</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r>
    </w:tbl>
    <w:p>
      <w:pPr>
        <w:pStyle w:val="NoSpacing"/>
        <w:jc w:val="center"/>
        <w:rPr>
          <w:rFonts w:ascii="Times New Roman" w:hAnsi="Times New Roman"/>
          <w:sz w:val="28"/>
          <w:szCs w:val="28"/>
        </w:rPr>
      </w:pPr>
      <w:r>
        <w:rPr>
          <w:rFonts w:ascii="Times New Roman" w:hAnsi="Times New Roman"/>
          <w:sz w:val="28"/>
          <w:szCs w:val="28"/>
        </w:rPr>
      </w:r>
    </w:p>
    <w:p>
      <w:pPr>
        <w:pStyle w:val="NoSpacing"/>
        <w:jc w:val="center"/>
        <w:rPr>
          <w:rFonts w:ascii="Times New Roman" w:hAnsi="Times New Roman"/>
          <w:sz w:val="28"/>
          <w:szCs w:val="28"/>
        </w:rPr>
      </w:pPr>
      <w:r>
        <w:rPr>
          <w:rFonts w:ascii="Times New Roman" w:hAnsi="Times New Roman"/>
          <w:sz w:val="28"/>
          <w:szCs w:val="28"/>
        </w:rPr>
      </w:r>
    </w:p>
    <w:p>
      <w:pPr>
        <w:pStyle w:val="NoSpacing"/>
        <w:jc w:val="center"/>
        <w:rPr>
          <w:rFonts w:ascii="Times New Roman" w:hAnsi="Times New Roman"/>
          <w:sz w:val="28"/>
          <w:szCs w:val="28"/>
        </w:rPr>
      </w:pPr>
      <w:r>
        <w:rPr>
          <w:rFonts w:ascii="Times New Roman" w:hAnsi="Times New Roman"/>
          <w:sz w:val="28"/>
          <w:szCs w:val="28"/>
        </w:rPr>
      </w:r>
    </w:p>
    <w:p>
      <w:pPr>
        <w:pStyle w:val="NoSpacing"/>
        <w:numPr>
          <w:ilvl w:val="0"/>
          <w:numId w:val="2"/>
        </w:numPr>
        <w:jc w:val="center"/>
        <w:rPr>
          <w:rFonts w:ascii="Times New Roman" w:hAnsi="Times New Roman"/>
          <w:sz w:val="28"/>
          <w:szCs w:val="28"/>
        </w:rPr>
      </w:pPr>
      <w:r>
        <w:rPr>
          <w:rFonts w:ascii="Times New Roman" w:hAnsi="Times New Roman"/>
          <w:sz w:val="28"/>
          <w:szCs w:val="28"/>
        </w:rPr>
        <w:t>Лицензионный контроль при осуществлении деятельности по тушению пожаров в населенных пунктах, на производственных объектах и объектах инфраструктуры, по тушению лесных пожаров.</w:t>
      </w:r>
    </w:p>
    <w:p>
      <w:pPr>
        <w:pStyle w:val="NoSpacing"/>
        <w:jc w:val="center"/>
        <w:rPr>
          <w:rFonts w:ascii="Times New Roman" w:hAnsi="Times New Roman"/>
          <w:sz w:val="28"/>
          <w:szCs w:val="28"/>
        </w:rPr>
      </w:pPr>
      <w:r>
        <w:rPr>
          <w:rFonts w:ascii="Times New Roman" w:hAnsi="Times New Roman"/>
          <w:sz w:val="28"/>
          <w:szCs w:val="28"/>
        </w:rPr>
      </w:r>
    </w:p>
    <w:tbl>
      <w:tblPr>
        <w:tblW w:w="14570" w:type="dxa"/>
        <w:jc w:val="left"/>
        <w:tblInd w:w="0" w:type="dxa"/>
        <w:tblCellMar>
          <w:top w:w="0" w:type="dxa"/>
          <w:left w:w="108" w:type="dxa"/>
          <w:bottom w:w="0" w:type="dxa"/>
          <w:right w:w="108" w:type="dxa"/>
        </w:tblCellMar>
        <w:tblLook w:val="04a0" w:noVBand="1" w:noHBand="0" w:lastColumn="0" w:firstColumn="1" w:lastRow="0" w:firstRow="1"/>
      </w:tblPr>
      <w:tblGrid>
        <w:gridCol w:w="810"/>
        <w:gridCol w:w="4062"/>
        <w:gridCol w:w="3923"/>
        <w:gridCol w:w="2265"/>
        <w:gridCol w:w="3510"/>
      </w:tblGrid>
      <w:tr>
        <w:trPr/>
        <w:tc>
          <w:tcPr>
            <w:tcW w:w="14570" w:type="dxa"/>
            <w:gridSpan w:val="5"/>
            <w:tcBorders>
              <w:bottom w:val="single" w:sz="4" w:space="0" w:color="000000"/>
            </w:tcBorders>
          </w:tcPr>
          <w:p>
            <w:pPr>
              <w:pStyle w:val="Normal"/>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tc>
      </w:tr>
      <w:tr>
        <w:trPr/>
        <w:tc>
          <w:tcPr>
            <w:tcW w:w="8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
                <w:b/>
                <w:sz w:val="24"/>
                <w:szCs w:val="24"/>
              </w:rPr>
            </w:pPr>
            <w:r>
              <w:rPr>
                <w:rFonts w:eastAsia="Times New Roman" w:ascii="Times New Roman" w:hAnsi="Times New Roman"/>
                <w:b/>
                <w:sz w:val="24"/>
                <w:szCs w:val="24"/>
              </w:rPr>
              <w:t xml:space="preserve">№ </w:t>
            </w:r>
            <w:r>
              <w:rPr>
                <w:rFonts w:eastAsia="Times New Roman" w:ascii="Times New Roman" w:hAnsi="Times New Roman"/>
                <w:b/>
                <w:sz w:val="24"/>
                <w:szCs w:val="24"/>
              </w:rPr>
              <w:t>п/п</w:t>
            </w:r>
          </w:p>
        </w:tc>
        <w:tc>
          <w:tcPr>
            <w:tcW w:w="40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
                <w:b/>
                <w:sz w:val="24"/>
                <w:szCs w:val="24"/>
              </w:rPr>
            </w:pPr>
            <w:r>
              <w:rPr>
                <w:rFonts w:eastAsia="Times New Roman" w:ascii="Times New Roman" w:hAnsi="Times New Roman"/>
                <w:b/>
                <w:sz w:val="24"/>
                <w:szCs w:val="24"/>
              </w:rPr>
              <w:t>Типовое нарушение лицензионных требований</w:t>
            </w:r>
          </w:p>
        </w:tc>
        <w:tc>
          <w:tcPr>
            <w:tcW w:w="392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
                <w:b/>
                <w:sz w:val="24"/>
                <w:szCs w:val="24"/>
              </w:rPr>
            </w:pPr>
            <w:r>
              <w:rPr>
                <w:rFonts w:eastAsia="Times New Roman" w:ascii="Times New Roman" w:hAnsi="Times New Roman"/>
                <w:b/>
                <w:sz w:val="24"/>
                <w:szCs w:val="24"/>
              </w:rPr>
              <w:t>Разъяснение возможных мероприятий по устранению</w:t>
            </w:r>
          </w:p>
        </w:tc>
        <w:tc>
          <w:tcPr>
            <w:tcW w:w="22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
                <w:b/>
                <w:sz w:val="24"/>
                <w:szCs w:val="24"/>
              </w:rPr>
            </w:pPr>
            <w:r>
              <w:rPr>
                <w:rFonts w:eastAsia="Times New Roman" w:ascii="Times New Roman" w:hAnsi="Times New Roman"/>
                <w:b/>
                <w:sz w:val="24"/>
                <w:szCs w:val="24"/>
              </w:rPr>
              <w:t>Причины возникновения типовых нарушений</w:t>
            </w:r>
          </w:p>
        </w:tc>
        <w:tc>
          <w:tcPr>
            <w:tcW w:w="35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
                <w:b/>
                <w:sz w:val="24"/>
                <w:szCs w:val="24"/>
              </w:rPr>
            </w:pPr>
            <w:r>
              <w:rPr>
                <w:rFonts w:eastAsia="Times New Roman" w:ascii="Times New Roman" w:hAnsi="Times New Roman"/>
                <w:b/>
                <w:sz w:val="24"/>
                <w:szCs w:val="24"/>
              </w:rPr>
              <w:t>Руководство по соблюдению обязательных требований</w:t>
            </w:r>
          </w:p>
        </w:tc>
      </w:tr>
      <w:tr>
        <w:trPr/>
        <w:tc>
          <w:tcPr>
            <w:tcW w:w="8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1.</w:t>
            </w:r>
          </w:p>
        </w:tc>
        <w:tc>
          <w:tcPr>
            <w:tcW w:w="40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Отсутствие у лицензиата необходимых для осуществления лицензируемого вида деятельности пожарной техники (первичных и мобильных средств пожаротушения), огнетушащих веществ, средств связи, оборудования, спецодежды, инструмента и технической документации, принадлежащих ему на праве собственности или ином законном основании и соответствующих установленным требованиям</w:t>
            </w:r>
          </w:p>
          <w:p>
            <w:pPr>
              <w:pStyle w:val="Normal"/>
              <w:spacing w:lineRule="auto" w:line="240" w:before="0" w:after="0"/>
              <w:rPr>
                <w:rFonts w:ascii="Times New Roman" w:hAnsi="Times New Roman" w:eastAsia="Times New Roman"/>
                <w:color w:val="FF0000"/>
                <w:sz w:val="24"/>
                <w:szCs w:val="24"/>
              </w:rPr>
            </w:pPr>
            <w:r>
              <w:rPr>
                <w:rFonts w:eastAsia="Times New Roman" w:ascii="Times New Roman" w:hAnsi="Times New Roman"/>
                <w:color w:val="FF0000"/>
                <w:sz w:val="24"/>
                <w:szCs w:val="24"/>
              </w:rPr>
            </w:r>
          </w:p>
        </w:tc>
        <w:tc>
          <w:tcPr>
            <w:tcW w:w="392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У лицензиата в наличии должны находится пожарная техника (первичные и мобильные средства пожаротушения), огнетушащие вещества, средства связи, оборудование, спецодежда, инструмент и техническая документация, принадлежащие ему на праве собственности или ином законном основании, соответствующие установленным требованиям и необходимые для выполнения работ и оказания услуг</w:t>
            </w:r>
          </w:p>
        </w:tc>
        <w:tc>
          <w:tcPr>
            <w:tcW w:w="22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Неясность (неоднозначность) трактовки обязательного требования.</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Отсутствует утвержденный перечень необходимой пожарной техники (первичных и мобильных средств пожаротушения), огнетушащих веществ, средств связи, оборудования, спецодежды, инструментов и технической документации.</w:t>
            </w:r>
          </w:p>
        </w:tc>
        <w:tc>
          <w:tcPr>
            <w:tcW w:w="35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Приобрести в собственность (взять в аренду) пожарную технику (первичные и мобильные средства пожаротушения), огнетушащие вещества, средства связи, оборудование, спецодежду, инструмент и техническую документацию, необходимые для выполнения лицензируемого вида деятельности.</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Указанное имущество должно иметь сопроводительные документы (паспорта, сертификаты соответствия, акты испытаний) подтверждающие соответствие установленным требованиям.</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r>
      <w:tr>
        <w:trPr/>
        <w:tc>
          <w:tcPr>
            <w:tcW w:w="8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2.</w:t>
            </w:r>
          </w:p>
        </w:tc>
        <w:tc>
          <w:tcPr>
            <w:tcW w:w="40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Отсутствие у лицензиата (юридического лица) специалиста, ответственного за осуществление лицензируемого вида деятельности, имеющего документ, подтверждающий получение высшего образования или среднего профессионального образования по специальности "пожарная безопасность", либо документ, подтверждающий получение иного высшего образования или среднего профессионального образования и наличие стажа работы в Государственной противопожарной службе на руководящих должностях не менее 3 лет, либо документ, подтверждающий прохождение профессионального обучения в организациях, осуществляющих образовательную деятельность по образовательной программе пожарно-технического профиля</w:t>
            </w:r>
          </w:p>
        </w:tc>
        <w:tc>
          <w:tcPr>
            <w:tcW w:w="392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t>В штате юридического лица должен состоять специалист, ответственный за осуществление лицензируемого вида деятельности, имеющий высшее образование или среднее профессиональное образование по специальности "пожарная безопасность", либо документ, подтверждающий получение иного высшего образования или среднего профессионального образования и наличие стажа работы в Государственной противопожарной службе на руководящих должностях не менее 3 лет, либо документ, подтверждающий прохождение профессионального обучения в организациях, осуществляющих образовательную деятельность по образовательной программе пожарно-технического профиля</w:t>
            </w:r>
          </w:p>
          <w:p>
            <w:pPr>
              <w:pStyle w:val="Normal"/>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22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Небрежное отношение лицензиата к выполнению обязательного требования</w:t>
            </w:r>
          </w:p>
        </w:tc>
        <w:tc>
          <w:tcPr>
            <w:tcW w:w="35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Подобрать в штат специалиста, ответственного за осуществление лицензируемого вида деятельности, имеющего высшее образование или среднее профессиональное образование по специальности "пожарная безопасность", либо документ, подтверждающий получение иного высшего образования или среднего профессионального образования и наличие стажа работы в Государственной противопожарной службе на руководящих должностях не менее 3 лет, либо документ, подтверждающий прохождение профессионального обучения в организациях, осуществляющих образовательную деятельность по образовательной программе пожарно-технического профиля</w:t>
            </w:r>
          </w:p>
        </w:tc>
      </w:tr>
      <w:tr>
        <w:trPr/>
        <w:tc>
          <w:tcPr>
            <w:tcW w:w="8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3.</w:t>
            </w:r>
          </w:p>
        </w:tc>
        <w:tc>
          <w:tcPr>
            <w:tcW w:w="40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Отсутствие у лицензиата документов, подтверждающих наличие у работников, участвующих в действиях по тушению пожаров, соответствующего их должностным обязанностям профессионального образования (квалификации, подтвержденной документом о прохождении профессионального обучения)</w:t>
            </w:r>
          </w:p>
        </w:tc>
        <w:tc>
          <w:tcPr>
            <w:tcW w:w="392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olor w:val="FF0000"/>
                <w:sz w:val="24"/>
                <w:szCs w:val="24"/>
              </w:rPr>
            </w:pPr>
            <w:r>
              <w:rPr>
                <w:rFonts w:eastAsia="Times New Roman" w:ascii="Times New Roman" w:hAnsi="Times New Roman"/>
                <w:sz w:val="24"/>
                <w:szCs w:val="24"/>
              </w:rPr>
              <w:t>Работники, участвующие в действиях по тушению пожаров, должны иметь профессиональное образование (квалификацию, подтвержденную документом о прохождении профессионального обучения)</w:t>
            </w:r>
          </w:p>
        </w:tc>
        <w:tc>
          <w:tcPr>
            <w:tcW w:w="22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olor w:val="FF0000"/>
                <w:sz w:val="24"/>
                <w:szCs w:val="24"/>
              </w:rPr>
            </w:pPr>
            <w:r>
              <w:rPr>
                <w:rFonts w:eastAsia="Times New Roman" w:ascii="Times New Roman" w:hAnsi="Times New Roman"/>
                <w:sz w:val="24"/>
                <w:szCs w:val="24"/>
              </w:rPr>
              <w:t>Небрежное отношение лицензиата к выполнению обязательного требования</w:t>
            </w:r>
          </w:p>
        </w:tc>
        <w:tc>
          <w:tcPr>
            <w:tcW w:w="35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Работникам, участвующим в действиях по тушению пожаров, пройти профессиональную подготовку (первоначальную курсовую подготовку по должности).</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Срок освоения программ профессиональной переподготовки должен быть не менее 250 часов.</w:t>
            </w:r>
          </w:p>
        </w:tc>
      </w:tr>
      <w:tr>
        <w:trPr/>
        <w:tc>
          <w:tcPr>
            <w:tcW w:w="8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4.</w:t>
            </w:r>
          </w:p>
        </w:tc>
        <w:tc>
          <w:tcPr>
            <w:tcW w:w="40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Отсутствие у лицензиата документов, подтверждающих отсутствие медицинских противопоказаний для исполнения должностных обязанностей у работников, участвующих в действиях по тушению пожаров</w:t>
            </w:r>
          </w:p>
        </w:tc>
        <w:tc>
          <w:tcPr>
            <w:tcW w:w="392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firstLine="540"/>
              <w:jc w:val="both"/>
              <w:rPr>
                <w:rFonts w:ascii="Times New Roman" w:hAnsi="Times New Roman" w:eastAsia="Times New Roman"/>
                <w:sz w:val="24"/>
                <w:szCs w:val="24"/>
              </w:rPr>
            </w:pPr>
            <w:r>
              <w:rPr>
                <w:rFonts w:eastAsia="Times New Roman" w:ascii="Times New Roman" w:hAnsi="Times New Roman"/>
                <w:sz w:val="24"/>
                <w:szCs w:val="24"/>
              </w:rPr>
              <w:t>У работников, участвующих в действиях по тушению пожаров, должны</w:t>
            </w:r>
            <w:r>
              <w:rPr>
                <w:rFonts w:eastAsia="Times New Roman"/>
              </w:rPr>
              <w:t xml:space="preserve"> </w:t>
            </w:r>
            <w:r>
              <w:rPr>
                <w:rFonts w:eastAsia="Times New Roman" w:ascii="Times New Roman" w:hAnsi="Times New Roman"/>
                <w:sz w:val="24"/>
                <w:szCs w:val="24"/>
              </w:rPr>
              <w:t>отсутствовать медицинские противопоказания для исполнения должностных обязанностей</w:t>
            </w:r>
          </w:p>
        </w:tc>
        <w:tc>
          <w:tcPr>
            <w:tcW w:w="22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olor w:val="FF0000"/>
                <w:sz w:val="24"/>
                <w:szCs w:val="24"/>
              </w:rPr>
            </w:pPr>
            <w:r>
              <w:rPr>
                <w:rFonts w:eastAsia="Times New Roman" w:ascii="Times New Roman" w:hAnsi="Times New Roman"/>
                <w:sz w:val="24"/>
                <w:szCs w:val="24"/>
              </w:rPr>
              <w:t>Небрежное отношение лицензиата к выполнению обязательного требования</w:t>
            </w:r>
          </w:p>
        </w:tc>
        <w:tc>
          <w:tcPr>
            <w:tcW w:w="35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t>Работникам, участвующим в действиях по тушению пожаров, пройти медицинский осмотр на предмет отсутствия медицинские противопоказания для исполнения должностных обязанностей</w:t>
            </w:r>
          </w:p>
          <w:p>
            <w:pPr>
              <w:pStyle w:val="Normal"/>
              <w:spacing w:lineRule="auto" w:line="240" w:before="0" w:after="0"/>
              <w:rPr>
                <w:rFonts w:ascii="Times New Roman" w:hAnsi="Times New Roman" w:eastAsia="Times New Roman"/>
                <w:color w:val="FF0000"/>
                <w:sz w:val="24"/>
                <w:szCs w:val="24"/>
              </w:rPr>
            </w:pPr>
            <w:r>
              <w:rPr>
                <w:rFonts w:eastAsia="Times New Roman" w:ascii="Times New Roman" w:hAnsi="Times New Roman"/>
                <w:color w:val="FF0000"/>
                <w:sz w:val="24"/>
                <w:szCs w:val="24"/>
              </w:rPr>
            </w:r>
          </w:p>
        </w:tc>
      </w:tr>
      <w:tr>
        <w:trPr/>
        <w:tc>
          <w:tcPr>
            <w:tcW w:w="8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5.</w:t>
            </w:r>
          </w:p>
        </w:tc>
        <w:tc>
          <w:tcPr>
            <w:tcW w:w="40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Отсутствие у</w:t>
            </w:r>
            <w:r>
              <w:rPr>
                <w:rFonts w:eastAsia="Times New Roman"/>
              </w:rPr>
              <w:t xml:space="preserve"> </w:t>
            </w:r>
            <w:r>
              <w:rPr>
                <w:rFonts w:eastAsia="Times New Roman" w:ascii="Times New Roman" w:hAnsi="Times New Roman"/>
                <w:sz w:val="24"/>
                <w:szCs w:val="24"/>
              </w:rPr>
              <w:t>лицензиата документов, подтверждающих повышение квалификации работников, участвующих в действиях по тушению пожаров, не реже 1 раза в 5 лет</w:t>
            </w:r>
          </w:p>
        </w:tc>
        <w:tc>
          <w:tcPr>
            <w:tcW w:w="392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t>Работники, участвующие в действиях по тушению пожаров, должны проходить курсы повышения квалификации не реже 1 раза в 5 лет</w:t>
            </w:r>
          </w:p>
        </w:tc>
        <w:tc>
          <w:tcPr>
            <w:tcW w:w="22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Отсутствие прямой связи несоблюдения обязательного требования с риском причинения ущерба охраняемым законом ценностям</w:t>
            </w:r>
          </w:p>
        </w:tc>
        <w:tc>
          <w:tcPr>
            <w:tcW w:w="35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Работникам участвующие в действиях по тушению пожаров проходить курсы повышения квалификации в области лицензируемой деятельности не реже 1 раза в 5 лет</w:t>
            </w:r>
          </w:p>
        </w:tc>
      </w:tr>
      <w:tr>
        <w:trPr/>
        <w:tc>
          <w:tcPr>
            <w:tcW w:w="8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6.</w:t>
            </w:r>
          </w:p>
        </w:tc>
        <w:tc>
          <w:tcPr>
            <w:tcW w:w="40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 xml:space="preserve">Не выполнение лицензиатом требований, предъявляемых к деятельности по тушению пожаров в населенных пунктах, на </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производственных объектах и объектах инфраструктуры, установленных нормативными правовыми актами и нормативными документами по пожарной безопасности</w:t>
            </w:r>
          </w:p>
        </w:tc>
        <w:tc>
          <w:tcPr>
            <w:tcW w:w="392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 xml:space="preserve">Лицензиат обязан выполнять требования, предъявляемые деятельности по тушению пожаров в населенных пунктах, на </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производственных объектах и объектах инфраструктуры, установленные нормативными правовыми актами и нормативными документами по пожарной безопасности</w:t>
            </w:r>
          </w:p>
        </w:tc>
        <w:tc>
          <w:tcPr>
            <w:tcW w:w="22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Небрежное отношение лицензиата к выполнению обязательного требования.</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Незнание работниками лицензиата обязательных требований, предъявляемых к лицензируемому виду деятельности.</w:t>
            </w:r>
          </w:p>
        </w:tc>
        <w:tc>
          <w:tcPr>
            <w:tcW w:w="35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t>В ходе проведения работ</w:t>
            </w:r>
            <w:r>
              <w:rPr>
                <w:rFonts w:eastAsia="Times New Roman"/>
              </w:rPr>
              <w:t xml:space="preserve"> </w:t>
            </w:r>
            <w:r>
              <w:rPr>
                <w:rFonts w:eastAsia="Times New Roman" w:ascii="Times New Roman" w:hAnsi="Times New Roman"/>
                <w:sz w:val="24"/>
                <w:szCs w:val="24"/>
              </w:rPr>
              <w:t xml:space="preserve">по тушению пожаров в населенных пунктах, на </w:t>
            </w:r>
          </w:p>
          <w:p>
            <w:pPr>
              <w:pStyle w:val="Normal"/>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t>производственных объектах и объектах инфраструктуры выполнять требования нормативных правовых актов и нормативных документов по пожарной безопасности.</w:t>
            </w:r>
          </w:p>
          <w:p>
            <w:pPr>
              <w:pStyle w:val="Normal"/>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t>Провести дополнительное обучение работников лицензиата в области лицензируемой деятельности.</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r>
      <w:tr>
        <w:trPr/>
        <w:tc>
          <w:tcPr>
            <w:tcW w:w="8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7.</w:t>
            </w:r>
          </w:p>
        </w:tc>
        <w:tc>
          <w:tcPr>
            <w:tcW w:w="40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Не соблюдение лицензиатом требований, предъявляемых к предоставлению информации для государственного статистического учета пожаров и их последствий в соответствии со статьей 27 Федерального закона "О пожарной безопасности"</w:t>
            </w:r>
          </w:p>
        </w:tc>
        <w:tc>
          <w:tcPr>
            <w:tcW w:w="392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Лицензиат обязан выполнять требования, предъявляемые</w:t>
            </w:r>
            <w:r>
              <w:rPr>
                <w:rFonts w:eastAsia="Times New Roman"/>
              </w:rPr>
              <w:t xml:space="preserve"> </w:t>
            </w:r>
            <w:r>
              <w:rPr>
                <w:rFonts w:eastAsia="Times New Roman" w:ascii="Times New Roman" w:hAnsi="Times New Roman"/>
                <w:sz w:val="24"/>
                <w:szCs w:val="24"/>
              </w:rPr>
              <w:t>к предоставлению информации для государственного статистического учета пожаров и их последствий в соответствии со статьей 27 Федерального закона "О пожарной безопасности"</w:t>
            </w:r>
          </w:p>
        </w:tc>
        <w:tc>
          <w:tcPr>
            <w:tcW w:w="22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Отсутствие прямой связи несоблюдения обязательного требования с риском причинения ущерба охраняемым законом ценностям</w:t>
            </w:r>
          </w:p>
        </w:tc>
        <w:tc>
          <w:tcPr>
            <w:tcW w:w="35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Выполнять требования, предъявляемые к предоставлению информации для государственного статистического учета пожаров и их последствий в соответствии со статьей 27 Федерального закона "О пожарной безопасности"</w:t>
            </w:r>
          </w:p>
        </w:tc>
      </w:tr>
    </w:tbl>
    <w:p>
      <w:pPr>
        <w:pStyle w:val="NoSpacing"/>
        <w:jc w:val="center"/>
        <w:rPr>
          <w:rFonts w:ascii="Times New Roman" w:hAnsi="Times New Roman"/>
          <w:sz w:val="28"/>
          <w:szCs w:val="28"/>
        </w:rPr>
      </w:pPr>
      <w:r>
        <w:rPr>
          <w:rFonts w:ascii="Times New Roman" w:hAnsi="Times New Roman"/>
          <w:sz w:val="28"/>
          <w:szCs w:val="28"/>
        </w:rPr>
      </w:r>
    </w:p>
    <w:p>
      <w:pPr>
        <w:pStyle w:val="NoSpacing"/>
        <w:jc w:val="center"/>
        <w:rPr>
          <w:rFonts w:ascii="Times New Roman" w:hAnsi="Times New Roman"/>
          <w:sz w:val="28"/>
          <w:szCs w:val="28"/>
        </w:rPr>
      </w:pPr>
      <w:r>
        <w:rPr>
          <w:rFonts w:ascii="Times New Roman" w:hAnsi="Times New Roman"/>
          <w:sz w:val="28"/>
          <w:szCs w:val="28"/>
        </w:rPr>
      </w:r>
    </w:p>
    <w:p>
      <w:pPr>
        <w:pStyle w:val="NoSpacing"/>
        <w:numPr>
          <w:ilvl w:val="0"/>
          <w:numId w:val="2"/>
        </w:numPr>
        <w:jc w:val="center"/>
        <w:rPr>
          <w:rFonts w:ascii="Times New Roman" w:hAnsi="Times New Roman"/>
          <w:sz w:val="28"/>
          <w:szCs w:val="28"/>
        </w:rPr>
      </w:pPr>
      <w:r>
        <w:rPr>
          <w:rFonts w:ascii="Times New Roman" w:hAnsi="Times New Roman"/>
          <w:sz w:val="28"/>
          <w:szCs w:val="28"/>
        </w:rPr>
        <w:t>Федеральный государственный надзор в области защиты населения и территорий от чрезвычайных ситуаций природного и техногенного характера.</w:t>
      </w:r>
    </w:p>
    <w:p>
      <w:pPr>
        <w:pStyle w:val="NoSpacing"/>
        <w:jc w:val="center"/>
        <w:rPr>
          <w:rFonts w:ascii="Times New Roman" w:hAnsi="Times New Roman"/>
          <w:sz w:val="28"/>
          <w:szCs w:val="28"/>
        </w:rPr>
      </w:pPr>
      <w:r>
        <w:rPr>
          <w:rFonts w:ascii="Times New Roman" w:hAnsi="Times New Roman"/>
          <w:sz w:val="28"/>
          <w:szCs w:val="28"/>
        </w:rPr>
      </w:r>
    </w:p>
    <w:tbl>
      <w:tblPr>
        <w:tblW w:w="14560" w:type="dxa"/>
        <w:jc w:val="left"/>
        <w:tblInd w:w="0" w:type="dxa"/>
        <w:tblCellMar>
          <w:top w:w="0" w:type="dxa"/>
          <w:left w:w="108" w:type="dxa"/>
          <w:bottom w:w="0" w:type="dxa"/>
          <w:right w:w="108" w:type="dxa"/>
        </w:tblCellMar>
        <w:tblLook w:val="04a0" w:noVBand="1" w:noHBand="0" w:lastColumn="0" w:firstColumn="1" w:lastRow="0" w:firstRow="1"/>
      </w:tblPr>
      <w:tblGrid>
        <w:gridCol w:w="809"/>
        <w:gridCol w:w="4059"/>
        <w:gridCol w:w="3924"/>
        <w:gridCol w:w="2263"/>
        <w:gridCol w:w="3505"/>
      </w:tblGrid>
      <w:tr>
        <w:trPr/>
        <w:tc>
          <w:tcPr>
            <w:tcW w:w="8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
                <w:b/>
                <w:sz w:val="24"/>
                <w:szCs w:val="24"/>
              </w:rPr>
            </w:pPr>
            <w:r>
              <w:rPr>
                <w:rFonts w:eastAsia="Times New Roman" w:ascii="Times New Roman" w:hAnsi="Times New Roman"/>
                <w:b/>
                <w:sz w:val="24"/>
                <w:szCs w:val="24"/>
              </w:rPr>
              <w:t xml:space="preserve">№ </w:t>
            </w:r>
            <w:r>
              <w:rPr>
                <w:rFonts w:eastAsia="Times New Roman" w:ascii="Times New Roman" w:hAnsi="Times New Roman"/>
                <w:b/>
                <w:sz w:val="24"/>
                <w:szCs w:val="24"/>
              </w:rPr>
              <w:t>п/п</w:t>
            </w:r>
          </w:p>
        </w:tc>
        <w:tc>
          <w:tcPr>
            <w:tcW w:w="405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
                <w:b/>
                <w:sz w:val="24"/>
                <w:szCs w:val="24"/>
              </w:rPr>
            </w:pPr>
            <w:r>
              <w:rPr>
                <w:rFonts w:eastAsia="Times New Roman" w:ascii="Times New Roman" w:hAnsi="Times New Roman"/>
                <w:b/>
                <w:sz w:val="24"/>
                <w:szCs w:val="24"/>
              </w:rPr>
              <w:t>Типовое нарушение требований в области защиты населения и территорий от чрезвычайных ситуаций</w:t>
            </w:r>
          </w:p>
        </w:tc>
        <w:tc>
          <w:tcPr>
            <w:tcW w:w="392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
                <w:b/>
                <w:sz w:val="24"/>
                <w:szCs w:val="24"/>
              </w:rPr>
            </w:pPr>
            <w:r>
              <w:rPr>
                <w:rFonts w:eastAsia="Times New Roman" w:ascii="Times New Roman" w:hAnsi="Times New Roman"/>
                <w:b/>
                <w:sz w:val="24"/>
                <w:szCs w:val="24"/>
              </w:rPr>
              <w:t>Разъяснение возможных мероприятий по устранению</w:t>
            </w:r>
          </w:p>
        </w:tc>
        <w:tc>
          <w:tcPr>
            <w:tcW w:w="226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
                <w:b/>
                <w:sz w:val="24"/>
                <w:szCs w:val="24"/>
              </w:rPr>
            </w:pPr>
            <w:r>
              <w:rPr>
                <w:rFonts w:eastAsia="Times New Roman" w:ascii="Times New Roman" w:hAnsi="Times New Roman"/>
                <w:b/>
                <w:sz w:val="24"/>
                <w:szCs w:val="24"/>
              </w:rPr>
              <w:t>Причины возникновения типовых нарушений</w:t>
            </w:r>
          </w:p>
        </w:tc>
        <w:tc>
          <w:tcPr>
            <w:tcW w:w="35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
                <w:b/>
                <w:sz w:val="24"/>
                <w:szCs w:val="24"/>
              </w:rPr>
            </w:pPr>
            <w:r>
              <w:rPr>
                <w:rFonts w:eastAsia="Times New Roman" w:ascii="Times New Roman" w:hAnsi="Times New Roman"/>
                <w:b/>
                <w:sz w:val="24"/>
                <w:szCs w:val="24"/>
              </w:rPr>
              <w:t>Руководство по соблюдению обязательных требований</w:t>
            </w:r>
          </w:p>
        </w:tc>
      </w:tr>
      <w:tr>
        <w:trPr/>
        <w:tc>
          <w:tcPr>
            <w:tcW w:w="8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1.</w:t>
            </w:r>
          </w:p>
        </w:tc>
        <w:tc>
          <w:tcPr>
            <w:tcW w:w="405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Органы управления и координирующие органы создаются по формальному признаку</w:t>
            </w:r>
          </w:p>
        </w:tc>
        <w:tc>
          <w:tcPr>
            <w:tcW w:w="392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Должностные лица органов управления и координирующих органов не знают свои функциональные обязанности, не владеют информацией о мероприятиях, выполняемых в соответствии с планами действий по предупреждению и ликвидации чрезвычайных ситуаций, в тренировках фактически не принимают участие</w:t>
            </w:r>
          </w:p>
        </w:tc>
        <w:tc>
          <w:tcPr>
            <w:tcW w:w="226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 xml:space="preserve">Другое: формальный подход – юридические лица ограничиваются изданием соответствующих локальных нормативных актов о создании, не уделяя внимания подготовке соответствующих должностных лиц </w:t>
            </w:r>
          </w:p>
        </w:tc>
        <w:tc>
          <w:tcPr>
            <w:tcW w:w="35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На законодательном уровне необходимо закрепить персональную ответственность за координацию и управление мероприятиями системы РСЧС.</w:t>
            </w:r>
          </w:p>
        </w:tc>
      </w:tr>
      <w:tr>
        <w:trPr/>
        <w:tc>
          <w:tcPr>
            <w:tcW w:w="8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2.</w:t>
            </w:r>
          </w:p>
        </w:tc>
        <w:tc>
          <w:tcPr>
            <w:tcW w:w="405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Фактическое отсутствие сил и средств по обеспечению выполнения мероприятий в рамках РСЧС</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392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Силы и средства по обеспечению выполнения мероприятий в рамках РСЧС создаются «на бумаге», однако должностные лица, входящие в состав соответствующих формирований не владеют своими функциональными обязанностями, соответственно не готовы к обеспечению выполнения возложенных задач</w:t>
            </w:r>
          </w:p>
        </w:tc>
        <w:tc>
          <w:tcPr>
            <w:tcW w:w="226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Другое: формальный подход – юридические лица ограничиваются изданием соответствующих локальных нормативных актов о создании формирований, не уделяя при этом внимание на их фактическое предназначение и подготовку</w:t>
            </w:r>
          </w:p>
        </w:tc>
        <w:tc>
          <w:tcPr>
            <w:tcW w:w="350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Со стороны руководителей должен быть обеспечен жесткий контроль за созданием и оснащением формирований в части соответствия фактического и действительного их состояния</w:t>
            </w:r>
          </w:p>
        </w:tc>
      </w:tr>
    </w:tbl>
    <w:p>
      <w:pPr>
        <w:pStyle w:val="NoSpacing"/>
        <w:jc w:val="center"/>
        <w:rPr>
          <w:rFonts w:ascii="Times New Roman" w:hAnsi="Times New Roman"/>
          <w:sz w:val="28"/>
          <w:szCs w:val="28"/>
        </w:rPr>
      </w:pPr>
      <w:r>
        <w:rPr>
          <w:rFonts w:ascii="Times New Roman" w:hAnsi="Times New Roman"/>
          <w:sz w:val="28"/>
          <w:szCs w:val="28"/>
        </w:rPr>
      </w:r>
    </w:p>
    <w:p>
      <w:pPr>
        <w:pStyle w:val="NoSpacing"/>
        <w:jc w:val="center"/>
        <w:rPr>
          <w:rFonts w:ascii="Times New Roman" w:hAnsi="Times New Roman"/>
          <w:sz w:val="28"/>
          <w:szCs w:val="28"/>
        </w:rPr>
      </w:pPr>
      <w:r>
        <w:rPr>
          <w:rFonts w:ascii="Times New Roman" w:hAnsi="Times New Roman"/>
          <w:sz w:val="28"/>
          <w:szCs w:val="28"/>
        </w:rPr>
      </w:r>
    </w:p>
    <w:p>
      <w:pPr>
        <w:pStyle w:val="NoSpacing"/>
        <w:jc w:val="center"/>
        <w:rPr>
          <w:rFonts w:ascii="Times New Roman" w:hAnsi="Times New Roman"/>
          <w:sz w:val="28"/>
          <w:szCs w:val="28"/>
        </w:rPr>
      </w:pPr>
      <w:r>
        <w:rPr>
          <w:rFonts w:ascii="Times New Roman" w:hAnsi="Times New Roman"/>
          <w:sz w:val="28"/>
          <w:szCs w:val="28"/>
        </w:rPr>
      </w:r>
    </w:p>
    <w:p>
      <w:pPr>
        <w:pStyle w:val="NoSpacing"/>
        <w:numPr>
          <w:ilvl w:val="0"/>
          <w:numId w:val="2"/>
        </w:numPr>
        <w:jc w:val="center"/>
        <w:rPr>
          <w:rFonts w:ascii="Times New Roman" w:hAnsi="Times New Roman"/>
          <w:sz w:val="28"/>
          <w:szCs w:val="28"/>
        </w:rPr>
      </w:pPr>
      <w:r>
        <w:rPr>
          <w:rFonts w:ascii="Times New Roman" w:hAnsi="Times New Roman"/>
          <w:sz w:val="28"/>
          <w:szCs w:val="28"/>
        </w:rPr>
        <w:t>Государственный надзор в области гражданской обороны.</w:t>
      </w:r>
    </w:p>
    <w:p>
      <w:pPr>
        <w:pStyle w:val="NoSpacing"/>
        <w:jc w:val="center"/>
        <w:rPr>
          <w:rFonts w:ascii="Times New Roman" w:hAnsi="Times New Roman"/>
          <w:sz w:val="28"/>
          <w:szCs w:val="28"/>
        </w:rPr>
      </w:pPr>
      <w:r>
        <w:rPr>
          <w:rFonts w:ascii="Times New Roman" w:hAnsi="Times New Roman"/>
          <w:sz w:val="28"/>
          <w:szCs w:val="28"/>
        </w:rPr>
      </w:r>
    </w:p>
    <w:p>
      <w:pPr>
        <w:pStyle w:val="NoSpacing"/>
        <w:jc w:val="center"/>
        <w:rPr>
          <w:rFonts w:ascii="Times New Roman" w:hAnsi="Times New Roman"/>
          <w:sz w:val="28"/>
          <w:szCs w:val="28"/>
        </w:rPr>
      </w:pPr>
      <w:r>
        <w:rPr>
          <w:rFonts w:ascii="Times New Roman" w:hAnsi="Times New Roman"/>
          <w:sz w:val="28"/>
          <w:szCs w:val="28"/>
        </w:rPr>
      </w:r>
    </w:p>
    <w:tbl>
      <w:tblPr>
        <w:tblW w:w="14560" w:type="dxa"/>
        <w:jc w:val="left"/>
        <w:tblInd w:w="0" w:type="dxa"/>
        <w:tblCellMar>
          <w:top w:w="0" w:type="dxa"/>
          <w:left w:w="108" w:type="dxa"/>
          <w:bottom w:w="0" w:type="dxa"/>
          <w:right w:w="108" w:type="dxa"/>
        </w:tblCellMar>
        <w:tblLook w:val="04a0" w:noVBand="1" w:noHBand="0" w:lastColumn="0" w:firstColumn="1" w:lastRow="0" w:firstRow="1"/>
      </w:tblPr>
      <w:tblGrid>
        <w:gridCol w:w="810"/>
        <w:gridCol w:w="4053"/>
        <w:gridCol w:w="3922"/>
        <w:gridCol w:w="2266"/>
        <w:gridCol w:w="3509"/>
      </w:tblGrid>
      <w:tr>
        <w:trPr/>
        <w:tc>
          <w:tcPr>
            <w:tcW w:w="8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
                <w:b/>
                <w:sz w:val="24"/>
                <w:szCs w:val="24"/>
              </w:rPr>
            </w:pPr>
            <w:r>
              <w:rPr>
                <w:rFonts w:eastAsia="Times New Roman" w:ascii="Times New Roman" w:hAnsi="Times New Roman"/>
                <w:b/>
                <w:sz w:val="24"/>
                <w:szCs w:val="24"/>
              </w:rPr>
              <w:t xml:space="preserve">№ </w:t>
            </w:r>
            <w:r>
              <w:rPr>
                <w:rFonts w:eastAsia="Times New Roman" w:ascii="Times New Roman" w:hAnsi="Times New Roman"/>
                <w:b/>
                <w:sz w:val="24"/>
                <w:szCs w:val="24"/>
              </w:rPr>
              <w:t>п/п</w:t>
            </w:r>
          </w:p>
        </w:tc>
        <w:tc>
          <w:tcPr>
            <w:tcW w:w="405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
                <w:b/>
                <w:sz w:val="24"/>
                <w:szCs w:val="24"/>
              </w:rPr>
            </w:pPr>
            <w:r>
              <w:rPr>
                <w:rFonts w:eastAsia="Times New Roman" w:ascii="Times New Roman" w:hAnsi="Times New Roman"/>
                <w:b/>
                <w:sz w:val="24"/>
                <w:szCs w:val="24"/>
              </w:rPr>
              <w:t>Типовое нарушение требований в области гражданской обороны</w:t>
            </w:r>
          </w:p>
        </w:tc>
        <w:tc>
          <w:tcPr>
            <w:tcW w:w="392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
                <w:b/>
                <w:sz w:val="24"/>
                <w:szCs w:val="24"/>
              </w:rPr>
            </w:pPr>
            <w:r>
              <w:rPr>
                <w:rFonts w:eastAsia="Times New Roman" w:ascii="Times New Roman" w:hAnsi="Times New Roman"/>
                <w:b/>
                <w:sz w:val="24"/>
                <w:szCs w:val="24"/>
              </w:rPr>
              <w:t>Разъяснение возможных мероприятий по устранению</w:t>
            </w:r>
          </w:p>
        </w:tc>
        <w:tc>
          <w:tcPr>
            <w:tcW w:w="226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
                <w:b/>
                <w:sz w:val="24"/>
                <w:szCs w:val="24"/>
              </w:rPr>
            </w:pPr>
            <w:r>
              <w:rPr>
                <w:rFonts w:eastAsia="Times New Roman" w:ascii="Times New Roman" w:hAnsi="Times New Roman"/>
                <w:b/>
                <w:sz w:val="24"/>
                <w:szCs w:val="24"/>
              </w:rPr>
              <w:t>Причины возникновения типовых нарушений</w:t>
            </w:r>
          </w:p>
        </w:tc>
        <w:tc>
          <w:tcPr>
            <w:tcW w:w="35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
                <w:b/>
                <w:sz w:val="24"/>
                <w:szCs w:val="24"/>
              </w:rPr>
            </w:pPr>
            <w:r>
              <w:rPr>
                <w:rFonts w:eastAsia="Times New Roman" w:ascii="Times New Roman" w:hAnsi="Times New Roman"/>
                <w:b/>
                <w:sz w:val="24"/>
                <w:szCs w:val="24"/>
              </w:rPr>
              <w:t>Руководство по соблюдению обязательных требований</w:t>
            </w:r>
          </w:p>
        </w:tc>
      </w:tr>
      <w:tr>
        <w:trPr/>
        <w:tc>
          <w:tcPr>
            <w:tcW w:w="8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1.</w:t>
            </w:r>
          </w:p>
        </w:tc>
        <w:tc>
          <w:tcPr>
            <w:tcW w:w="405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Ненадлежащее содержание / отсутствие объектов гражданской обороны</w:t>
            </w:r>
          </w:p>
        </w:tc>
        <w:tc>
          <w:tcPr>
            <w:tcW w:w="392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Разработка методических рекомендаций по определению необходимого и достаточного объема объектов гражданской обороны (для органов исполнительной власти субъектов РФ – в отношении подведомственных объектов, для органов местного самоуправления – в отношении объектов, расположенных на соответствующей территории)</w:t>
            </w:r>
          </w:p>
        </w:tc>
        <w:tc>
          <w:tcPr>
            <w:tcW w:w="226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Другое: органы исполнительной власти субъектов РФ на подведомственных объектах и органы местного самоуправления на объектах, расположенных на соответствующей территории не ведут расчет необходимых для выполнения мероприятий гражданской обороны</w:t>
            </w:r>
          </w:p>
        </w:tc>
        <w:tc>
          <w:tcPr>
            <w:tcW w:w="35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Проведение соответствующих расчетов и доведение их органами исполнительной власти субъектов РФ до подведомственных объектов и органами местного самоуправления до объектов, расположенных на соответствующей территории</w:t>
            </w:r>
          </w:p>
        </w:tc>
      </w:tr>
      <w:tr>
        <w:trPr/>
        <w:tc>
          <w:tcPr>
            <w:tcW w:w="8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2.</w:t>
            </w:r>
          </w:p>
        </w:tc>
        <w:tc>
          <w:tcPr>
            <w:tcW w:w="405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Фактическое отсутствие сил и средств по обеспечению выполнения мероприятий по гражданской обороне</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p>
        </w:tc>
        <w:tc>
          <w:tcPr>
            <w:tcW w:w="392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 xml:space="preserve">Силы и средства по обеспечению выполнения мероприятий по гражданской обороне создаются «на бумаге», однако должностные лица, входящие в состав соответствующих формирований не владеют своими функциональными обязанностями, соответственно не готовы к обеспечению выполнения мероприятий по гражданской обороне </w:t>
            </w:r>
          </w:p>
        </w:tc>
        <w:tc>
          <w:tcPr>
            <w:tcW w:w="226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Другое: формальный подход – юридические лица ограничиваются изданием соответствующих локальных нормативных актов о создании формирований по обеспечению выполнения мероприятий по гражданской обороне, не уделяя при этом внимание на их фактическое предназначение и подготовку</w:t>
            </w:r>
          </w:p>
        </w:tc>
        <w:tc>
          <w:tcPr>
            <w:tcW w:w="35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Со стороны руководителей должен быть обеспечен жесткий контроль за созданием и оснащением формирований по обеспечению выполнения мероприятий по гражданской обороне в части соответствия фактического и действительного их состояния</w:t>
            </w:r>
          </w:p>
        </w:tc>
      </w:tr>
    </w:tbl>
    <w:p>
      <w:pPr>
        <w:pStyle w:val="NoSpacing"/>
        <w:jc w:val="center"/>
        <w:rPr>
          <w:rFonts w:ascii="Times New Roman" w:hAnsi="Times New Roman"/>
          <w:sz w:val="28"/>
          <w:szCs w:val="28"/>
        </w:rPr>
      </w:pPr>
      <w:r>
        <w:rPr>
          <w:rFonts w:ascii="Times New Roman" w:hAnsi="Times New Roman"/>
          <w:sz w:val="28"/>
          <w:szCs w:val="28"/>
        </w:rPr>
      </w:r>
    </w:p>
    <w:p>
      <w:pPr>
        <w:pStyle w:val="NoSpacing"/>
        <w:jc w:val="center"/>
        <w:rPr>
          <w:rFonts w:ascii="Times New Roman" w:hAnsi="Times New Roman"/>
          <w:sz w:val="28"/>
          <w:szCs w:val="28"/>
        </w:rPr>
      </w:pPr>
      <w:r>
        <w:rPr>
          <w:rFonts w:ascii="Times New Roman" w:hAnsi="Times New Roman"/>
          <w:sz w:val="28"/>
          <w:szCs w:val="28"/>
        </w:rPr>
      </w:r>
    </w:p>
    <w:p>
      <w:pPr>
        <w:pStyle w:val="NoSpacing"/>
        <w:jc w:val="center"/>
        <w:rPr>
          <w:rFonts w:ascii="Times New Roman" w:hAnsi="Times New Roman"/>
          <w:sz w:val="28"/>
          <w:szCs w:val="28"/>
        </w:rPr>
      </w:pPr>
      <w:r>
        <w:rPr>
          <w:rFonts w:ascii="Times New Roman" w:hAnsi="Times New Roman"/>
          <w:sz w:val="28"/>
          <w:szCs w:val="28"/>
        </w:rPr>
        <w:t>6. Государственный надзор во внутренних водах и в территориальном море Российской Федерации за маломерными судами, используемыми в некоммерческих целях, и базами (сооружениями)для их стоянок.</w:t>
      </w:r>
    </w:p>
    <w:p>
      <w:pPr>
        <w:pStyle w:val="NoSpacing"/>
        <w:jc w:val="center"/>
        <w:rPr>
          <w:rFonts w:ascii="Times New Roman" w:hAnsi="Times New Roman"/>
          <w:sz w:val="28"/>
          <w:szCs w:val="28"/>
        </w:rPr>
      </w:pPr>
      <w:r>
        <w:rPr>
          <w:rFonts w:ascii="Times New Roman" w:hAnsi="Times New Roman"/>
          <w:sz w:val="28"/>
          <w:szCs w:val="28"/>
        </w:rPr>
      </w:r>
    </w:p>
    <w:p>
      <w:pPr>
        <w:pStyle w:val="NoSpacing"/>
        <w:jc w:val="center"/>
        <w:rPr>
          <w:rFonts w:ascii="Times New Roman" w:hAnsi="Times New Roman"/>
          <w:sz w:val="28"/>
          <w:szCs w:val="28"/>
        </w:rPr>
      </w:pPr>
      <w:r>
        <w:rPr>
          <w:rFonts w:ascii="Times New Roman" w:hAnsi="Times New Roman"/>
          <w:sz w:val="28"/>
          <w:szCs w:val="28"/>
        </w:rPr>
      </w:r>
    </w:p>
    <w:tbl>
      <w:tblPr>
        <w:tblW w:w="14560" w:type="dxa"/>
        <w:jc w:val="left"/>
        <w:tblInd w:w="0" w:type="dxa"/>
        <w:tblCellMar>
          <w:top w:w="0" w:type="dxa"/>
          <w:left w:w="108" w:type="dxa"/>
          <w:bottom w:w="0" w:type="dxa"/>
          <w:right w:w="108" w:type="dxa"/>
        </w:tblCellMar>
        <w:tblLook w:val="04a0" w:noVBand="1" w:noHBand="0" w:lastColumn="0" w:firstColumn="1" w:lastRow="0" w:firstRow="1"/>
      </w:tblPr>
      <w:tblGrid>
        <w:gridCol w:w="809"/>
        <w:gridCol w:w="3644"/>
        <w:gridCol w:w="3637"/>
        <w:gridCol w:w="2961"/>
        <w:gridCol w:w="3509"/>
      </w:tblGrid>
      <w:tr>
        <w:trPr/>
        <w:tc>
          <w:tcPr>
            <w:tcW w:w="8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
                <w:b/>
                <w:sz w:val="24"/>
                <w:szCs w:val="24"/>
              </w:rPr>
            </w:pPr>
            <w:r>
              <w:rPr>
                <w:rFonts w:eastAsia="Times New Roman" w:ascii="Times New Roman" w:hAnsi="Times New Roman"/>
                <w:b/>
                <w:sz w:val="24"/>
                <w:szCs w:val="24"/>
              </w:rPr>
              <w:t xml:space="preserve">№ </w:t>
            </w:r>
            <w:r>
              <w:rPr>
                <w:rFonts w:eastAsia="Times New Roman" w:ascii="Times New Roman" w:hAnsi="Times New Roman"/>
                <w:b/>
                <w:sz w:val="24"/>
                <w:szCs w:val="24"/>
              </w:rPr>
              <w:t>п/п</w:t>
            </w:r>
          </w:p>
        </w:tc>
        <w:tc>
          <w:tcPr>
            <w:tcW w:w="3644" w:type="dxa"/>
            <w:tcBorders>
              <w:top w:val="single" w:sz="4" w:space="0" w:color="000000"/>
              <w:left w:val="single" w:sz="4" w:space="0" w:color="000000"/>
              <w:bottom w:val="single" w:sz="4" w:space="0" w:color="000000"/>
              <w:right w:val="single" w:sz="4" w:space="0" w:color="000000"/>
            </w:tcBorders>
          </w:tcPr>
          <w:p>
            <w:pPr>
              <w:pStyle w:val="ListParagraph"/>
              <w:numPr>
                <w:ilvl w:val="0"/>
                <w:numId w:val="1"/>
              </w:numPr>
              <w:spacing w:lineRule="auto" w:line="240" w:before="0" w:after="0"/>
              <w:ind w:left="317" w:hanging="544"/>
              <w:contextualSpacing/>
              <w:rPr>
                <w:rFonts w:ascii="Times New Roman" w:hAnsi="Times New Roman"/>
                <w:b/>
                <w:b/>
                <w:sz w:val="24"/>
                <w:szCs w:val="24"/>
              </w:rPr>
            </w:pPr>
            <w:r>
              <w:rPr>
                <w:rFonts w:ascii="Times New Roman" w:hAnsi="Times New Roman"/>
                <w:b/>
                <w:sz w:val="24"/>
                <w:szCs w:val="24"/>
              </w:rPr>
              <w:t>Статистика типовых и массовых нарушений обязательных требований</w:t>
            </w:r>
          </w:p>
        </w:tc>
        <w:tc>
          <w:tcPr>
            <w:tcW w:w="363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
                <w:b/>
                <w:sz w:val="24"/>
                <w:szCs w:val="24"/>
              </w:rPr>
            </w:pPr>
            <w:r>
              <w:rPr>
                <w:rFonts w:eastAsia="Times New Roman" w:ascii="Times New Roman" w:hAnsi="Times New Roman"/>
                <w:b/>
                <w:sz w:val="24"/>
                <w:szCs w:val="24"/>
              </w:rPr>
              <w:t>Разъяснение возможных мероприятий по устранению</w:t>
            </w:r>
          </w:p>
        </w:tc>
        <w:tc>
          <w:tcPr>
            <w:tcW w:w="29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
                <w:b/>
                <w:sz w:val="24"/>
                <w:szCs w:val="24"/>
              </w:rPr>
            </w:pPr>
            <w:r>
              <w:rPr>
                <w:rFonts w:eastAsia="Times New Roman" w:ascii="Times New Roman" w:hAnsi="Times New Roman"/>
                <w:b/>
                <w:sz w:val="24"/>
                <w:szCs w:val="24"/>
              </w:rPr>
              <w:t>Причины возникновения типовых нарушений</w:t>
            </w:r>
          </w:p>
        </w:tc>
        <w:tc>
          <w:tcPr>
            <w:tcW w:w="35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
                <w:b/>
                <w:sz w:val="24"/>
                <w:szCs w:val="24"/>
              </w:rPr>
            </w:pPr>
            <w:r>
              <w:rPr>
                <w:rFonts w:eastAsia="Times New Roman" w:ascii="Times New Roman" w:hAnsi="Times New Roman"/>
                <w:b/>
                <w:sz w:val="24"/>
                <w:szCs w:val="24"/>
              </w:rPr>
              <w:t>Руководство по соблюдению обязательных требований</w:t>
            </w:r>
          </w:p>
        </w:tc>
      </w:tr>
      <w:tr>
        <w:trPr/>
        <w:tc>
          <w:tcPr>
            <w:tcW w:w="14560" w:type="dxa"/>
            <w:gridSpan w:val="5"/>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b/>
                <w:b/>
                <w:sz w:val="24"/>
                <w:szCs w:val="24"/>
              </w:rPr>
            </w:pPr>
            <w:r>
              <w:rPr>
                <w:rFonts w:eastAsia="Times New Roman" w:ascii="Times New Roman" w:hAnsi="Times New Roman"/>
                <w:b/>
                <w:sz w:val="24"/>
                <w:szCs w:val="24"/>
              </w:rPr>
              <w:t xml:space="preserve"> </w:t>
            </w:r>
          </w:p>
        </w:tc>
      </w:tr>
      <w:tr>
        <w:trPr/>
        <w:tc>
          <w:tcPr>
            <w:tcW w:w="8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1.</w:t>
            </w:r>
          </w:p>
        </w:tc>
        <w:tc>
          <w:tcPr>
            <w:tcW w:w="364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85,7% приходится на статьи: 11.8.1 КоАП РФ «Управление маломерным судном судоводителем, не имеющим при себе документов, необходимых для допуска к управлению маломерным судном» и ст. 11.8 КоАП РФ «Нарушение правил эксплуатации судов, а также управление судном лицом, не имеющим права управления»</w:t>
            </w:r>
          </w:p>
        </w:tc>
        <w:tc>
          <w:tcPr>
            <w:tcW w:w="363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 xml:space="preserve">Данные нарушения связаны человеческим фактором. По недопущению данных нарушений мероприятия возможны путем разъяснения через средства массовой информации, в ходе контрольно-надзорной деятельности, по месту обучения при получении водительского удостоверения, а также в ходе регистрации маломерных судов. </w:t>
            </w:r>
          </w:p>
        </w:tc>
        <w:tc>
          <w:tcPr>
            <w:tcW w:w="29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Высокий уровень издержек по соблюдению обязательного требования по сравнению с уровнем возможной ответственности.</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 xml:space="preserve">Статья 11.8 КоАП РФ «Управление судном (в том числе маломерным), не зарегистрированным в установленном порядке….».  </w:t>
            </w:r>
          </w:p>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Серьезное упущение законодателя – это несовершенная система налогообложения маломерных судов, которая требует радикальных изменений. Взять, к примеру, налог на гидроцикл в Республике Башкортостан. Собственник гидроцикла с мощностью двигателя до 100 л.с. (до 73,55 кВт) включительно обязан ежегодно оплачивать налог с каждой лошадиной силы в размере 5000 рублей. Следует отметить, что сравнительно редко гидроциклы имеют мощность двигателя менее 100 л.с. Как правило, мощность стандартного гидроцикла составляет 150 л.с., а значит, собственник такого плавсредства подпадает под другую систему расчетов налогообложения. Для гидроциклов с двигателем свыше 100 л.с. (свыше 73,55 кВт) налог за 1 л.с. составляет 100 руб. в год. Обратимся к простой арифметике. Если мощность гидроцикла составляет 150 л.с., то в год собственник такого маломерного судна должен выплатить 15000 руб. И это притом, что период навигации в Республике Башкортостан  составляет 3-4 месяца, то есть большую часть времени гидроцикл не используется. Проведенный мониторинг показывает, что данное плавсредство в большинстве случаев используют в маленьких водоемах: прудах, озерах, где отсутствует постоянный надзор со стороны ГИМС. Максимальный административный штраф за данное нарушение составляет 1500 рублей. Исходя из всего этого, следует, что владельцу гидроцикла на свой страх и риск выгодно не регистрировать плавсредство, а нарушать обязательные требования, т.е. проще заплатить штраф, чем налог. Таким образом, необходимо установить разумный предел налога на маломерные суда или применить более жесткие меры административного воздействия с тем, чтобы граждане не прибегали к различного рода схемам и уловкам.</w:t>
            </w:r>
          </w:p>
        </w:tc>
        <w:tc>
          <w:tcPr>
            <w:tcW w:w="35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Конституция Российской Федерации, Гражданский кодекс Российской Федерации, Налоговый Кодекс Российской Федерации, Кодекс об административных правонарушениях Российской Федерации,  Правила плавания по внутренним путям Российской Федерации, Приказ от 29.06.2005 №502 Министерства Российской Федерации по делам гражданской обороны, чрезвычайным ситуациям и ликвидации последствий стихийных бедствий «Об утверждении Правил пользования маломерными судами на водных объектах Российской Федерации».</w:t>
            </w:r>
          </w:p>
        </w:tc>
      </w:tr>
    </w:tbl>
    <w:p>
      <w:pPr>
        <w:pStyle w:val="Normal"/>
        <w:rPr/>
      </w:pPr>
      <w:r>
        <w:rPr/>
      </w:r>
    </w:p>
    <w:p>
      <w:pPr>
        <w:pStyle w:val="Normal"/>
        <w:rPr/>
      </w:pPr>
      <w:r>
        <w:rPr/>
      </w:r>
    </w:p>
    <w:p>
      <w:pPr>
        <w:pStyle w:val="Normal"/>
        <w:spacing w:lineRule="auto" w:line="240" w:before="0" w:after="0"/>
        <w:ind w:right="40" w:hanging="0"/>
        <w:jc w:val="center"/>
        <w:rPr/>
      </w:pPr>
      <w:r>
        <w:rPr/>
      </w:r>
    </w:p>
    <w:sectPr>
      <w:type w:val="nextPage"/>
      <w:pgSz w:orient="landscape" w:w="16838" w:h="11906"/>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a04281"/>
    <w:pPr>
      <w:widowControl/>
      <w:bidi w:val="0"/>
      <w:spacing w:lineRule="auto" w:line="276" w:before="0" w:after="200"/>
      <w:jc w:val="left"/>
    </w:pPr>
    <w:rPr>
      <w:rFonts w:eastAsia="" w:eastAsiaTheme="minorEastAsia" w:ascii="Calibri" w:hAnsi="Calibri" w:cs=""/>
      <w:color w:val="auto"/>
      <w:kern w:val="0"/>
      <w:sz w:val="22"/>
      <w:szCs w:val="22"/>
      <w:lang w:eastAsia="ru-RU" w:val="ru-RU"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a04281"/>
    <w:pPr>
      <w:ind w:left="720" w:hanging="0"/>
    </w:pPr>
    <w:rPr>
      <w:rFonts w:ascii="Calibri" w:hAnsi="Calibri" w:eastAsia="Times New Roman" w:cs="Calibri"/>
    </w:rPr>
  </w:style>
  <w:style w:type="paragraph" w:styleId="1" w:customStyle="1">
    <w:name w:val="Обычный1"/>
    <w:uiPriority w:val="99"/>
    <w:qFormat/>
    <w:rsid w:val="00a04281"/>
    <w:pPr>
      <w:widowControl w:val="false"/>
      <w:bidi w:val="0"/>
      <w:spacing w:lineRule="auto" w:line="240" w:before="0" w:after="0"/>
      <w:ind w:left="1480" w:firstLine="640"/>
      <w:jc w:val="both"/>
    </w:pPr>
    <w:rPr>
      <w:rFonts w:ascii="Times New Roman" w:hAnsi="Times New Roman" w:eastAsia="Times New Roman" w:cs="Times New Roman"/>
      <w:color w:val="auto"/>
      <w:kern w:val="0"/>
      <w:sz w:val="24"/>
      <w:szCs w:val="20"/>
      <w:lang w:eastAsia="ru-RU" w:val="ru-RU" w:bidi="ar-SA"/>
    </w:rPr>
  </w:style>
  <w:style w:type="paragraph" w:styleId="NoSpacing">
    <w:name w:val="No Spacing"/>
    <w:uiPriority w:val="1"/>
    <w:qFormat/>
    <w:rsid w:val="00a04281"/>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Style19">
    <w:name w:val="Содержимое таблицы"/>
    <w:basedOn w:val="Normal"/>
    <w:qFormat/>
    <w:pPr>
      <w:suppressLineNumbers/>
    </w:pPr>
    <w:rPr/>
  </w:style>
  <w:style w:type="paragraph" w:styleId="Style20">
    <w:name w:val="Заголовок таблицы"/>
    <w:basedOn w:val="Style19"/>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Application>LibreOffice/6.4.4.2$Linux_X86_64 LibreOffice_project/40$Build-2</Application>
  <Pages>19</Pages>
  <Words>4041</Words>
  <Characters>30624</Characters>
  <CharactersWithSpaces>34454</CharactersWithSpaces>
  <Paragraphs>256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2017-06-26T10:27:00Z</dcterms:created>
  <dc:creator>УНД ОГСП - Заместитель начальника отдела - Юдин О.В.</dc:creator>
  <dc:description/>
  <dc:language>ru-RU</dc:language>
  <cp:lastModifiedBy/>
  <dcterms:modified xsi:type="dcterms:W3CDTF">2024-01-16T15:53:22Z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